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spacing w:before="0" w:after="0" w:line="331.2" w:lineRule="auto"/>
      </w:pPr>
      <w:r>
        <w:rPr>
          <w:rFonts w:ascii="Times New Roman" w:hAnsi="Times New Roman" w:eastAsia="Times New Roman" w:cs="Times New Roman"/>
          <w:sz w:val="28"/>
          <w:szCs w:val="28"/>
          <w:b/>
          <w:u w:val=""/>
        </w:rPr>
        <w:t xml:space="preserve">ТРЕБОВАНИЯ</w:t>
      </w:r>
    </w:p>
    <w:p>
      <w:pPr>
        <w:jc w:val="center"/>
        <w:ind/>
        <w:spacing w:before="0" w:after="0" w:line="288" w:lineRule="auto"/>
      </w:pPr>
      <w:r>
        <w:rPr>
          <w:rFonts w:ascii="Times New Roman" w:hAnsi="Times New Roman" w:eastAsia="Times New Roman" w:cs="Times New Roman"/>
          <w:sz w:val="28"/>
          <w:szCs w:val="28"/>
          <w:b/>
          <w:u w:val=""/>
        </w:rPr>
        <w:t xml:space="preserve">по подготовке бизнес-плана и финансовой модели инвестиционного проекта, предоставляемым в Акционерное общество «Кавказ.РФ»</w:t>
      </w:r>
    </w:p>
    <w:p>
      <w:pPr>
        <w:jc w:val="left"/>
        <w:ind/>
        <w:spacing w:before="0" w:after="0" w:line="432" w:lineRule="auto"/>
      </w:pPr>
      <w:r>
        <w:rPr>
          <w:sz w:val="28"/>
          <w:szCs w:val="28"/>
          <w:u w:val=""/>
        </w:rPr>
        <w:t xml:space="preserve"> </w:t>
      </w:r>
    </w:p>
    <w:p>
      <w:pPr>
        <w:jc w:val="center"/>
        <w:ind w:left="192"/>
        <w:spacing w:before="0" w:after="0" w:line="288" w:lineRule="auto"/>
        <w:numPr>
          <w:ilvl w:val="0"/>
          <w:numId w:val="8"/>
        </w:numPr>
        <w:rPr>
          <w:sz w:val="28"/>
          <w:szCs w:val="28"/>
          <w:u w:val=""/>
        </w:rPr>
      </w:pPr>
      <w:r>
        <w:rPr>
          <w:rFonts w:ascii="Times New Roman" w:hAnsi="Times New Roman" w:eastAsia="Times New Roman" w:cs="Times New Roman"/>
          <w:sz w:val="28"/>
          <w:szCs w:val="28"/>
          <w:b/>
          <w:u w:val=""/>
        </w:rPr>
        <w:t xml:space="preserve">Требования по подготовке бизнес-плана инвестиционного проекта, предоставляемого в Акционерное общество «Кавказ.РФ»</w:t>
      </w:r>
    </w:p>
    <w:p>
      <w:pPr>
        <w:jc w:val="left"/>
        <w:ind/>
        <w:spacing w:before="0" w:after="0" w:line="432" w:lineRule="auto"/>
      </w:pPr>
      <w:r>
        <w:rPr>
          <w:sz w:val="28"/>
          <w:szCs w:val="28"/>
          <w:u w:val=""/>
        </w:rPr>
        <w:t xml:space="preserve"> </w:t>
      </w:r>
    </w:p>
    <w:p>
      <w:pPr>
        <w:jc w:val="center"/>
        <w:ind/>
        <w:spacing w:before="0" w:after="0" w:line="288" w:lineRule="auto"/>
      </w:pPr>
      <w:r>
        <w:rPr>
          <w:rFonts w:ascii="Times New Roman" w:hAnsi="Times New Roman" w:eastAsia="Times New Roman" w:cs="Times New Roman"/>
          <w:sz w:val="28"/>
          <w:szCs w:val="28"/>
          <w:b/>
          <w:u w:val=""/>
        </w:rPr>
        <w:t xml:space="preserve">СТРУКТУРА БИЗНЕС-ПЛАНА</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b/>
          <w:u w:val=""/>
        </w:rPr>
        <w:t xml:space="preserve">Титульный лист бизнес-плана проекта</w:t>
      </w:r>
    </w:p>
    <w:p>
      <w:pPr>
        <w:jc w:val="both"/>
        <w:ind w:left="112"/>
        <w:spacing w:before="0" w:after="0" w:line="288" w:lineRule="auto"/>
        <w:numPr>
          <w:ilvl w:val="0"/>
          <w:numId w:val="9"/>
        </w:numPr>
        <w:rPr>
          <w:sz w:val="28"/>
          <w:szCs w:val="28"/>
          <w:u w:val=""/>
        </w:rPr>
      </w:pPr>
      <w:r>
        <w:rPr>
          <w:rFonts w:ascii="Times New Roman" w:hAnsi="Times New Roman" w:eastAsia="Times New Roman" w:cs="Times New Roman"/>
          <w:sz w:val="28"/>
          <w:szCs w:val="28"/>
          <w:b/>
          <w:u w:val=""/>
        </w:rPr>
        <w:t xml:space="preserve">Краткий обзор (резюме) проекта</w:t>
      </w:r>
    </w:p>
    <w:p>
      <w:pPr>
        <w:jc w:val="both"/>
        <w:ind w:left="112"/>
        <w:spacing w:before="0" w:after="0" w:line="288" w:lineRule="auto"/>
        <w:numPr>
          <w:ilvl w:val="0"/>
          <w:numId w:val="9"/>
        </w:numPr>
        <w:rPr>
          <w:sz w:val="28"/>
          <w:szCs w:val="28"/>
          <w:u w:val=""/>
        </w:rPr>
      </w:pPr>
      <w:r>
        <w:rPr>
          <w:rFonts w:ascii="Times New Roman" w:hAnsi="Times New Roman" w:eastAsia="Times New Roman" w:cs="Times New Roman"/>
          <w:sz w:val="28"/>
          <w:szCs w:val="28"/>
          <w:b/>
          <w:u w:val=""/>
        </w:rPr>
        <w:t xml:space="preserve">Инициатор проекта</w:t>
      </w:r>
    </w:p>
    <w:p>
      <w:pPr>
        <w:jc w:val="both"/>
        <w:ind w:left="496"/>
        <w:spacing w:before="0" w:after="0" w:line="288" w:lineRule="auto"/>
        <w:numPr>
          <w:ilvl w:val="1"/>
          <w:numId w:val="10"/>
        </w:numPr>
        <w:rPr>
          <w:sz w:val="28"/>
          <w:szCs w:val="28"/>
          <w:u w:val=""/>
        </w:rPr>
      </w:pPr>
      <w:r>
        <w:rPr>
          <w:rFonts w:ascii="Times New Roman" w:hAnsi="Times New Roman" w:eastAsia="Times New Roman" w:cs="Times New Roman"/>
          <w:sz w:val="28"/>
          <w:szCs w:val="28"/>
          <w:u w:val=""/>
        </w:rPr>
        <w:t xml:space="preserve">Общие данные</w:t>
      </w:r>
    </w:p>
    <w:p>
      <w:pPr>
        <w:jc w:val="both"/>
        <w:ind w:left="496"/>
        <w:spacing w:before="0" w:after="0" w:line="288" w:lineRule="auto"/>
        <w:numPr>
          <w:ilvl w:val="1"/>
          <w:numId w:val="10"/>
        </w:numPr>
        <w:rPr>
          <w:sz w:val="28"/>
          <w:szCs w:val="28"/>
          <w:u w:val=""/>
        </w:rPr>
      </w:pPr>
      <w:r>
        <w:rPr>
          <w:rFonts w:ascii="Times New Roman" w:hAnsi="Times New Roman" w:eastAsia="Times New Roman" w:cs="Times New Roman"/>
          <w:sz w:val="28"/>
          <w:szCs w:val="28"/>
          <w:u w:val=""/>
        </w:rPr>
        <w:t xml:space="preserve">Учредители (акционеры)</w:t>
      </w:r>
    </w:p>
    <w:p>
      <w:pPr>
        <w:jc w:val="both"/>
        <w:ind w:left="496"/>
        <w:spacing w:before="0" w:after="0" w:line="288" w:lineRule="auto"/>
        <w:numPr>
          <w:ilvl w:val="1"/>
          <w:numId w:val="10"/>
        </w:numPr>
        <w:rPr>
          <w:sz w:val="28"/>
          <w:szCs w:val="28"/>
          <w:u w:val=""/>
        </w:rPr>
      </w:pPr>
      <w:r>
        <w:rPr>
          <w:rFonts w:ascii="Times New Roman" w:hAnsi="Times New Roman" w:eastAsia="Times New Roman" w:cs="Times New Roman"/>
          <w:sz w:val="28"/>
          <w:szCs w:val="28"/>
          <w:u w:val=""/>
        </w:rPr>
        <w:t xml:space="preserve">Виды и объемы деятельности</w:t>
      </w:r>
    </w:p>
    <w:p>
      <w:pPr>
        <w:jc w:val="both"/>
        <w:ind w:left="496"/>
        <w:spacing w:before="0" w:after="0" w:line="288" w:lineRule="auto"/>
        <w:numPr>
          <w:ilvl w:val="1"/>
          <w:numId w:val="10"/>
        </w:numPr>
        <w:rPr>
          <w:sz w:val="28"/>
          <w:szCs w:val="28"/>
          <w:u w:val=""/>
        </w:rPr>
      </w:pPr>
      <w:r>
        <w:rPr>
          <w:rFonts w:ascii="Times New Roman" w:hAnsi="Times New Roman" w:eastAsia="Times New Roman" w:cs="Times New Roman"/>
          <w:sz w:val="28"/>
          <w:szCs w:val="28"/>
          <w:u w:val=""/>
        </w:rPr>
        <w:t xml:space="preserve">Финансовое состояние</w:t>
      </w:r>
    </w:p>
    <w:p>
      <w:pPr>
        <w:jc w:val="both"/>
        <w:ind w:left="496"/>
        <w:spacing w:before="0" w:after="0" w:line="288" w:lineRule="auto"/>
        <w:numPr>
          <w:ilvl w:val="1"/>
          <w:numId w:val="10"/>
        </w:numPr>
        <w:rPr>
          <w:sz w:val="28"/>
          <w:szCs w:val="28"/>
          <w:u w:val=""/>
        </w:rPr>
      </w:pPr>
      <w:r>
        <w:rPr>
          <w:rFonts w:ascii="Times New Roman" w:hAnsi="Times New Roman" w:eastAsia="Times New Roman" w:cs="Times New Roman"/>
          <w:sz w:val="28"/>
          <w:szCs w:val="28"/>
          <w:u w:val=""/>
        </w:rPr>
        <w:t xml:space="preserve">Информация о руководителях</w:t>
      </w:r>
    </w:p>
    <w:p>
      <w:pPr>
        <w:jc w:val="both"/>
        <w:ind w:left="112"/>
        <w:spacing w:before="0" w:after="0" w:line="288" w:lineRule="auto"/>
        <w:numPr>
          <w:ilvl w:val="0"/>
          <w:numId w:val="9"/>
        </w:numPr>
        <w:rPr>
          <w:sz w:val="28"/>
          <w:szCs w:val="28"/>
          <w:u w:val=""/>
        </w:rPr>
      </w:pPr>
      <w:r>
        <w:rPr>
          <w:rFonts w:ascii="Times New Roman" w:hAnsi="Times New Roman" w:eastAsia="Times New Roman" w:cs="Times New Roman"/>
          <w:sz w:val="28"/>
          <w:szCs w:val="28"/>
          <w:b/>
          <w:u w:val=""/>
        </w:rPr>
        <w:t xml:space="preserve">Существо предлагаемого проекта </w:t>
      </w:r>
    </w:p>
    <w:p>
      <w:pPr>
        <w:jc w:val="both"/>
        <w:ind w:left="496"/>
        <w:spacing w:before="0" w:after="0" w:line="288" w:lineRule="auto"/>
        <w:numPr>
          <w:ilvl w:val="1"/>
          <w:numId w:val="11"/>
        </w:numPr>
        <w:rPr>
          <w:sz w:val="28"/>
          <w:szCs w:val="28"/>
          <w:u w:val=""/>
        </w:rPr>
      </w:pPr>
      <w:r>
        <w:rPr>
          <w:rFonts w:ascii="Times New Roman" w:hAnsi="Times New Roman" w:eastAsia="Times New Roman" w:cs="Times New Roman"/>
          <w:sz w:val="28"/>
          <w:szCs w:val="28"/>
          <w:u w:val=""/>
        </w:rPr>
        <w:t xml:space="preserve">Местонахождение объекта</w:t>
      </w:r>
    </w:p>
    <w:p>
      <w:pPr>
        <w:jc w:val="both"/>
        <w:ind w:left="496"/>
        <w:spacing w:before="0" w:after="0" w:line="288" w:lineRule="auto"/>
        <w:numPr>
          <w:ilvl w:val="1"/>
          <w:numId w:val="11"/>
        </w:numPr>
        <w:rPr>
          <w:sz w:val="28"/>
          <w:szCs w:val="28"/>
          <w:u w:val=""/>
        </w:rPr>
      </w:pPr>
      <w:r>
        <w:rPr>
          <w:rFonts w:ascii="Times New Roman" w:hAnsi="Times New Roman" w:eastAsia="Times New Roman" w:cs="Times New Roman"/>
          <w:sz w:val="28"/>
          <w:szCs w:val="28"/>
          <w:u w:val=""/>
        </w:rPr>
        <w:t xml:space="preserve">Описание продукта (услуги)</w:t>
      </w:r>
    </w:p>
    <w:p>
      <w:pPr>
        <w:jc w:val="both"/>
        <w:ind w:left="496"/>
        <w:spacing w:before="0" w:after="0" w:line="288" w:lineRule="auto"/>
        <w:numPr>
          <w:ilvl w:val="1"/>
          <w:numId w:val="11"/>
        </w:numPr>
        <w:rPr>
          <w:sz w:val="28"/>
          <w:szCs w:val="28"/>
          <w:u w:val=""/>
        </w:rPr>
      </w:pPr>
      <w:r>
        <w:rPr>
          <w:rFonts w:ascii="Times New Roman" w:hAnsi="Times New Roman" w:eastAsia="Times New Roman" w:cs="Times New Roman"/>
          <w:sz w:val="28"/>
          <w:szCs w:val="28"/>
          <w:u w:val=""/>
        </w:rPr>
        <w:t xml:space="preserve">Технология производства продукта (оказания услуги)</w:t>
      </w:r>
    </w:p>
    <w:p>
      <w:pPr>
        <w:jc w:val="both"/>
        <w:ind w:left="496"/>
        <w:spacing w:before="0" w:after="0" w:line="288" w:lineRule="auto"/>
        <w:numPr>
          <w:ilvl w:val="1"/>
          <w:numId w:val="11"/>
        </w:numPr>
        <w:rPr>
          <w:sz w:val="28"/>
          <w:szCs w:val="28"/>
          <w:u w:val=""/>
        </w:rPr>
      </w:pPr>
      <w:r>
        <w:rPr>
          <w:rFonts w:ascii="Times New Roman" w:hAnsi="Times New Roman" w:eastAsia="Times New Roman" w:cs="Times New Roman"/>
          <w:sz w:val="28"/>
          <w:szCs w:val="28"/>
          <w:u w:val=""/>
        </w:rPr>
        <w:t xml:space="preserve">Характеристики закупаемого оборудования (техники)</w:t>
      </w:r>
    </w:p>
    <w:p>
      <w:pPr>
        <w:jc w:val="both"/>
        <w:ind w:left="112"/>
        <w:spacing w:before="0" w:after="0" w:line="288" w:lineRule="auto"/>
        <w:numPr>
          <w:ilvl w:val="0"/>
          <w:numId w:val="9"/>
        </w:numPr>
        <w:rPr>
          <w:sz w:val="28"/>
          <w:szCs w:val="28"/>
          <w:u w:val=""/>
        </w:rPr>
      </w:pPr>
      <w:r>
        <w:rPr>
          <w:rFonts w:ascii="Times New Roman" w:hAnsi="Times New Roman" w:eastAsia="Times New Roman" w:cs="Times New Roman"/>
          <w:sz w:val="28"/>
          <w:szCs w:val="28"/>
          <w:b/>
          <w:u w:val=""/>
        </w:rPr>
        <w:t xml:space="preserve">Анализ рынков сбыта продукции и закупок сырья</w:t>
      </w:r>
    </w:p>
    <w:p>
      <w:pPr>
        <w:jc w:val="both"/>
        <w:ind w:left="496"/>
        <w:spacing w:before="0" w:after="0" w:line="288" w:lineRule="auto"/>
        <w:numPr>
          <w:ilvl w:val="1"/>
          <w:numId w:val="12"/>
        </w:numPr>
        <w:rPr>
          <w:sz w:val="28"/>
          <w:szCs w:val="28"/>
          <w:u w:val=""/>
        </w:rPr>
      </w:pPr>
      <w:r>
        <w:rPr>
          <w:rFonts w:ascii="Times New Roman" w:hAnsi="Times New Roman" w:eastAsia="Times New Roman" w:cs="Times New Roman"/>
          <w:sz w:val="28"/>
          <w:szCs w:val="28"/>
          <w:u w:val=""/>
        </w:rPr>
        <w:t xml:space="preserve">Рынок сырья, материалов и комплектующих</w:t>
      </w:r>
    </w:p>
    <w:p>
      <w:pPr>
        <w:jc w:val="both"/>
        <w:ind w:left="496"/>
        <w:spacing w:before="0" w:after="0" w:line="288" w:lineRule="auto"/>
        <w:numPr>
          <w:ilvl w:val="1"/>
          <w:numId w:val="12"/>
        </w:numPr>
        <w:rPr>
          <w:sz w:val="28"/>
          <w:szCs w:val="28"/>
          <w:u w:val=""/>
        </w:rPr>
      </w:pPr>
      <w:r>
        <w:rPr>
          <w:rFonts w:ascii="Times New Roman" w:hAnsi="Times New Roman" w:eastAsia="Times New Roman" w:cs="Times New Roman"/>
          <w:sz w:val="28"/>
          <w:szCs w:val="28"/>
          <w:u w:val=""/>
        </w:rPr>
        <w:t xml:space="preserve">Конкуренция на рынке сбыта</w:t>
      </w:r>
    </w:p>
    <w:p>
      <w:pPr>
        <w:jc w:val="both"/>
        <w:ind w:left="496"/>
        <w:spacing w:before="0" w:after="0" w:line="288" w:lineRule="auto"/>
        <w:numPr>
          <w:ilvl w:val="1"/>
          <w:numId w:val="12"/>
        </w:numPr>
        <w:rPr>
          <w:sz w:val="28"/>
          <w:szCs w:val="28"/>
          <w:u w:val=""/>
        </w:rPr>
      </w:pPr>
      <w:r>
        <w:rPr>
          <w:rFonts w:ascii="Times New Roman" w:hAnsi="Times New Roman" w:eastAsia="Times New Roman" w:cs="Times New Roman"/>
          <w:sz w:val="28"/>
          <w:szCs w:val="28"/>
          <w:u w:val=""/>
        </w:rPr>
        <w:t xml:space="preserve">Потенциальная емкость рынка сбыта</w:t>
      </w:r>
    </w:p>
    <w:p>
      <w:pPr>
        <w:jc w:val="both"/>
        <w:ind w:left="112"/>
        <w:spacing w:before="0" w:after="0" w:line="288" w:lineRule="auto"/>
        <w:numPr>
          <w:ilvl w:val="0"/>
          <w:numId w:val="9"/>
        </w:numPr>
        <w:rPr>
          <w:sz w:val="28"/>
          <w:szCs w:val="28"/>
          <w:u w:val=""/>
        </w:rPr>
      </w:pPr>
      <w:r>
        <w:rPr>
          <w:rFonts w:ascii="Times New Roman" w:hAnsi="Times New Roman" w:eastAsia="Times New Roman" w:cs="Times New Roman"/>
          <w:sz w:val="28"/>
          <w:szCs w:val="28"/>
          <w:b/>
          <w:u w:val=""/>
        </w:rPr>
        <w:t xml:space="preserve">План продаж и стратегия маркетинга</w:t>
      </w:r>
    </w:p>
    <w:p>
      <w:pPr>
        <w:jc w:val="both"/>
        <w:ind w:left="112"/>
        <w:spacing w:before="0" w:after="0" w:line="288" w:lineRule="auto"/>
        <w:numPr>
          <w:ilvl w:val="0"/>
          <w:numId w:val="9"/>
        </w:numPr>
        <w:rPr>
          <w:sz w:val="28"/>
          <w:szCs w:val="28"/>
          <w:u w:val=""/>
        </w:rPr>
      </w:pPr>
      <w:r>
        <w:rPr>
          <w:rFonts w:ascii="Times New Roman" w:hAnsi="Times New Roman" w:eastAsia="Times New Roman" w:cs="Times New Roman"/>
          <w:sz w:val="28"/>
          <w:szCs w:val="28"/>
          <w:b/>
          <w:u w:val=""/>
        </w:rPr>
        <w:t xml:space="preserve">Анализ доступности ресурсов</w:t>
      </w:r>
    </w:p>
    <w:p>
      <w:pPr>
        <w:jc w:val="both"/>
        <w:ind w:left="112"/>
        <w:spacing w:before="0" w:after="0" w:line="288" w:lineRule="auto"/>
        <w:numPr>
          <w:ilvl w:val="0"/>
          <w:numId w:val="9"/>
        </w:numPr>
        <w:rPr>
          <w:sz w:val="28"/>
          <w:szCs w:val="28"/>
          <w:u w:val=""/>
        </w:rPr>
      </w:pPr>
      <w:r>
        <w:rPr>
          <w:rFonts w:ascii="Times New Roman" w:hAnsi="Times New Roman" w:eastAsia="Times New Roman" w:cs="Times New Roman"/>
          <w:sz w:val="28"/>
          <w:szCs w:val="28"/>
          <w:b/>
          <w:u w:val=""/>
        </w:rPr>
        <w:t xml:space="preserve">Воздействие на окружающую среду и устойчивое развитие</w:t>
      </w:r>
    </w:p>
    <w:p>
      <w:pPr>
        <w:jc w:val="both"/>
        <w:ind w:left="112"/>
        <w:spacing w:before="0" w:after="0" w:line="288" w:lineRule="auto"/>
        <w:numPr>
          <w:ilvl w:val="0"/>
          <w:numId w:val="9"/>
        </w:numPr>
        <w:rPr>
          <w:sz w:val="28"/>
          <w:szCs w:val="28"/>
          <w:u w:val=""/>
        </w:rPr>
      </w:pPr>
      <w:r>
        <w:rPr>
          <w:rFonts w:ascii="Times New Roman" w:hAnsi="Times New Roman" w:eastAsia="Times New Roman" w:cs="Times New Roman"/>
          <w:sz w:val="28"/>
          <w:szCs w:val="28"/>
          <w:b/>
          <w:u w:val=""/>
        </w:rPr>
        <w:t xml:space="preserve">Организационный план</w:t>
      </w:r>
    </w:p>
    <w:p>
      <w:pPr>
        <w:jc w:val="both"/>
        <w:ind w:left="496"/>
        <w:spacing w:before="0" w:after="0" w:line="288" w:lineRule="auto"/>
        <w:numPr>
          <w:ilvl w:val="1"/>
          <w:numId w:val="13"/>
        </w:numPr>
        <w:rPr>
          <w:sz w:val="28"/>
          <w:szCs w:val="28"/>
          <w:u w:val=""/>
        </w:rPr>
      </w:pPr>
      <w:r>
        <w:rPr>
          <w:rFonts w:ascii="Times New Roman" w:hAnsi="Times New Roman" w:eastAsia="Times New Roman" w:cs="Times New Roman"/>
          <w:sz w:val="28"/>
          <w:szCs w:val="28"/>
          <w:u w:val=""/>
        </w:rPr>
        <w:t xml:space="preserve">Организационно-правовая форма реализации проекта</w:t>
      </w:r>
    </w:p>
    <w:p>
      <w:pPr>
        <w:jc w:val="both"/>
        <w:ind w:left="496"/>
        <w:spacing w:before="0" w:after="0" w:line="288" w:lineRule="auto"/>
        <w:numPr>
          <w:ilvl w:val="1"/>
          <w:numId w:val="13"/>
        </w:numPr>
        <w:rPr>
          <w:sz w:val="28"/>
          <w:szCs w:val="28"/>
          <w:u w:val=""/>
        </w:rPr>
      </w:pPr>
      <w:r>
        <w:rPr>
          <w:rFonts w:ascii="Times New Roman" w:hAnsi="Times New Roman" w:eastAsia="Times New Roman" w:cs="Times New Roman"/>
          <w:sz w:val="28"/>
          <w:szCs w:val="28"/>
          <w:u w:val=""/>
        </w:rPr>
        <w:t xml:space="preserve">Основные партнеры</w:t>
      </w:r>
    </w:p>
    <w:p>
      <w:pPr>
        <w:jc w:val="both"/>
        <w:ind w:left="496"/>
        <w:spacing w:before="0" w:after="0" w:line="288" w:lineRule="auto"/>
        <w:numPr>
          <w:ilvl w:val="1"/>
          <w:numId w:val="13"/>
        </w:numPr>
        <w:rPr>
          <w:sz w:val="28"/>
          <w:szCs w:val="28"/>
          <w:u w:val=""/>
        </w:rPr>
      </w:pPr>
      <w:r>
        <w:rPr>
          <w:rFonts w:ascii="Times New Roman" w:hAnsi="Times New Roman" w:eastAsia="Times New Roman" w:cs="Times New Roman"/>
          <w:sz w:val="28"/>
          <w:szCs w:val="28"/>
          <w:u w:val=""/>
        </w:rPr>
        <w:t xml:space="preserve">График реализации проекта</w:t>
      </w:r>
    </w:p>
    <w:p>
      <w:pPr>
        <w:jc w:val="both"/>
        <w:ind w:left="496"/>
        <w:spacing w:before="0" w:after="0" w:line="288" w:lineRule="auto"/>
        <w:numPr>
          <w:ilvl w:val="1"/>
          <w:numId w:val="13"/>
        </w:numPr>
        <w:rPr>
          <w:sz w:val="28"/>
          <w:szCs w:val="28"/>
          <w:u w:val=""/>
        </w:rPr>
      </w:pPr>
      <w:r>
        <w:rPr>
          <w:rFonts w:ascii="Times New Roman" w:hAnsi="Times New Roman" w:eastAsia="Times New Roman" w:cs="Times New Roman"/>
          <w:sz w:val="28"/>
          <w:szCs w:val="28"/>
          <w:u w:val=""/>
        </w:rPr>
        <w:t xml:space="preserve">Правовые вопросы осуществления проекта</w:t>
      </w:r>
    </w:p>
    <w:p>
      <w:pPr>
        <w:jc w:val="both"/>
        <w:ind w:left="112"/>
        <w:spacing w:before="0" w:after="0" w:line="288" w:lineRule="auto"/>
        <w:numPr>
          <w:ilvl w:val="0"/>
          <w:numId w:val="9"/>
        </w:numPr>
        <w:rPr>
          <w:sz w:val="28"/>
          <w:szCs w:val="28"/>
          <w:u w:val=""/>
        </w:rPr>
      </w:pPr>
      <w:r>
        <w:rPr>
          <w:rFonts w:ascii="Times New Roman" w:hAnsi="Times New Roman" w:eastAsia="Times New Roman" w:cs="Times New Roman"/>
          <w:sz w:val="28"/>
          <w:szCs w:val="28"/>
          <w:b/>
          <w:u w:val=""/>
        </w:rPr>
        <w:t xml:space="preserve">План производства</w:t>
      </w:r>
    </w:p>
    <w:p>
      <w:pPr>
        <w:jc w:val="both"/>
        <w:ind w:left="112"/>
        <w:spacing w:before="0" w:after="0" w:line="288" w:lineRule="auto"/>
        <w:numPr>
          <w:ilvl w:val="0"/>
          <w:numId w:val="9"/>
        </w:numPr>
        <w:rPr>
          <w:sz w:val="28"/>
          <w:szCs w:val="28"/>
          <w:u w:val=""/>
        </w:rPr>
      </w:pPr>
      <w:r>
        <w:rPr>
          <w:rFonts w:ascii="Times New Roman" w:hAnsi="Times New Roman" w:eastAsia="Times New Roman" w:cs="Times New Roman"/>
          <w:sz w:val="28"/>
          <w:szCs w:val="28"/>
          <w:b/>
          <w:u w:val=""/>
        </w:rPr>
        <w:t xml:space="preserve">Финансовый план</w:t>
      </w:r>
    </w:p>
    <w:p>
      <w:pPr>
        <w:jc w:val="both"/>
        <w:ind w:left="496"/>
        <w:spacing w:before="0" w:after="0" w:line="288" w:lineRule="auto"/>
        <w:numPr>
          <w:ilvl w:val="1"/>
          <w:numId w:val="14"/>
        </w:numPr>
        <w:rPr>
          <w:sz w:val="28"/>
          <w:szCs w:val="28"/>
          <w:u w:val=""/>
        </w:rPr>
      </w:pPr>
      <w:r>
        <w:rPr>
          <w:rFonts w:ascii="Times New Roman" w:hAnsi="Times New Roman" w:eastAsia="Times New Roman" w:cs="Times New Roman"/>
          <w:sz w:val="28"/>
          <w:szCs w:val="28"/>
          <w:u w:val=""/>
        </w:rPr>
        <w:t xml:space="preserve">Условия и допущения, принятые для расчета</w:t>
      </w:r>
    </w:p>
    <w:p>
      <w:pPr>
        <w:jc w:val="both"/>
        <w:ind w:left="496"/>
        <w:spacing w:before="0" w:after="0" w:line="288" w:lineRule="auto"/>
        <w:numPr>
          <w:ilvl w:val="1"/>
          <w:numId w:val="14"/>
        </w:numPr>
        <w:rPr>
          <w:sz w:val="28"/>
          <w:szCs w:val="28"/>
          <w:u w:val=""/>
        </w:rPr>
      </w:pPr>
      <w:r>
        <w:rPr>
          <w:rFonts w:ascii="Times New Roman" w:hAnsi="Times New Roman" w:eastAsia="Times New Roman" w:cs="Times New Roman"/>
          <w:sz w:val="28"/>
          <w:szCs w:val="28"/>
          <w:u w:val=""/>
        </w:rPr>
        <w:t xml:space="preserve">Исходные данные</w:t>
      </w:r>
    </w:p>
    <w:p>
      <w:pPr>
        <w:jc w:val="both"/>
        <w:ind w:left="880"/>
        <w:spacing w:before="0" w:after="0" w:line="288" w:lineRule="auto"/>
        <w:numPr>
          <w:ilvl w:val="2"/>
          <w:numId w:val="15"/>
        </w:numPr>
        <w:rPr>
          <w:sz w:val="28"/>
          <w:szCs w:val="28"/>
          <w:u w:val=""/>
        </w:rPr>
      </w:pPr>
      <w:r>
        <w:rPr>
          <w:rFonts w:ascii="Times New Roman" w:hAnsi="Times New Roman" w:eastAsia="Times New Roman" w:cs="Times New Roman"/>
          <w:sz w:val="28"/>
          <w:szCs w:val="28"/>
          <w:u w:val=""/>
        </w:rPr>
        <w:t xml:space="preserve">Налоговое окружение</w:t>
      </w:r>
    </w:p>
    <w:p>
      <w:pPr>
        <w:jc w:val="both"/>
        <w:ind w:left="880"/>
        <w:spacing w:before="0" w:after="0" w:line="288" w:lineRule="auto"/>
        <w:numPr>
          <w:ilvl w:val="2"/>
          <w:numId w:val="15"/>
        </w:numPr>
        <w:rPr>
          <w:sz w:val="28"/>
          <w:szCs w:val="28"/>
          <w:u w:val=""/>
        </w:rPr>
      </w:pPr>
      <w:r>
        <w:rPr>
          <w:rFonts w:ascii="Times New Roman" w:hAnsi="Times New Roman" w:eastAsia="Times New Roman" w:cs="Times New Roman"/>
          <w:sz w:val="28"/>
          <w:szCs w:val="28"/>
          <w:u w:val=""/>
        </w:rPr>
        <w:t xml:space="preserve">Номенклатура и цены продукции (услуг)</w:t>
      </w:r>
    </w:p>
    <w:p>
      <w:pPr>
        <w:jc w:val="both"/>
        <w:ind w:left="880"/>
        <w:spacing w:before="0" w:after="0" w:line="288" w:lineRule="auto"/>
        <w:numPr>
          <w:ilvl w:val="2"/>
          <w:numId w:val="15"/>
        </w:numPr>
        <w:rPr>
          <w:sz w:val="28"/>
          <w:szCs w:val="28"/>
          <w:u w:val=""/>
        </w:rPr>
      </w:pPr>
      <w:r>
        <w:rPr>
          <w:rFonts w:ascii="Times New Roman" w:hAnsi="Times New Roman" w:eastAsia="Times New Roman" w:cs="Times New Roman"/>
          <w:sz w:val="28"/>
          <w:szCs w:val="28"/>
          <w:u w:val=""/>
        </w:rPr>
        <w:t xml:space="preserve">План производства</w:t>
      </w:r>
    </w:p>
    <w:p>
      <w:pPr>
        <w:jc w:val="both"/>
        <w:ind w:left="880"/>
        <w:spacing w:before="0" w:after="0" w:line="288" w:lineRule="auto"/>
        <w:numPr>
          <w:ilvl w:val="2"/>
          <w:numId w:val="15"/>
        </w:numPr>
        <w:rPr>
          <w:sz w:val="28"/>
          <w:szCs w:val="28"/>
          <w:u w:val=""/>
        </w:rPr>
      </w:pPr>
      <w:r>
        <w:rPr>
          <w:rFonts w:ascii="Times New Roman" w:hAnsi="Times New Roman" w:eastAsia="Times New Roman" w:cs="Times New Roman"/>
          <w:sz w:val="28"/>
          <w:szCs w:val="28"/>
          <w:u w:val=""/>
        </w:rPr>
        <w:t xml:space="preserve">Номенклатура и цены сырья, материалов и пр.</w:t>
      </w:r>
    </w:p>
    <w:p>
      <w:pPr>
        <w:jc w:val="both"/>
        <w:ind w:left="880"/>
        <w:spacing w:before="0" w:after="0" w:line="288" w:lineRule="auto"/>
        <w:numPr>
          <w:ilvl w:val="2"/>
          <w:numId w:val="15"/>
        </w:numPr>
        <w:rPr>
          <w:sz w:val="28"/>
          <w:szCs w:val="28"/>
          <w:u w:val=""/>
        </w:rPr>
      </w:pPr>
      <w:r>
        <w:rPr>
          <w:rFonts w:ascii="Times New Roman" w:hAnsi="Times New Roman" w:eastAsia="Times New Roman" w:cs="Times New Roman"/>
          <w:sz w:val="28"/>
          <w:szCs w:val="28"/>
          <w:u w:val=""/>
        </w:rPr>
        <w:t xml:space="preserve">Калькуляция прямых материальных затрат</w:t>
      </w:r>
    </w:p>
    <w:p>
      <w:pPr>
        <w:jc w:val="both"/>
        <w:ind w:left="880"/>
        <w:spacing w:before="0" w:after="0" w:line="288" w:lineRule="auto"/>
        <w:numPr>
          <w:ilvl w:val="2"/>
          <w:numId w:val="15"/>
        </w:numPr>
        <w:rPr>
          <w:sz w:val="28"/>
          <w:szCs w:val="28"/>
          <w:u w:val=""/>
        </w:rPr>
      </w:pPr>
      <w:r>
        <w:rPr>
          <w:rFonts w:ascii="Times New Roman" w:hAnsi="Times New Roman" w:eastAsia="Times New Roman" w:cs="Times New Roman"/>
          <w:sz w:val="28"/>
          <w:szCs w:val="28"/>
          <w:u w:val=""/>
        </w:rPr>
        <w:t xml:space="preserve">Численность персонала и заработная плата</w:t>
      </w:r>
    </w:p>
    <w:p>
      <w:pPr>
        <w:jc w:val="both"/>
        <w:ind w:left="880"/>
        <w:spacing w:before="0" w:after="0" w:line="288" w:lineRule="auto"/>
        <w:numPr>
          <w:ilvl w:val="2"/>
          <w:numId w:val="15"/>
        </w:numPr>
        <w:rPr>
          <w:sz w:val="28"/>
          <w:szCs w:val="28"/>
          <w:u w:val=""/>
        </w:rPr>
      </w:pPr>
      <w:r>
        <w:rPr>
          <w:rFonts w:ascii="Times New Roman" w:hAnsi="Times New Roman" w:eastAsia="Times New Roman" w:cs="Times New Roman"/>
          <w:sz w:val="28"/>
          <w:szCs w:val="28"/>
          <w:u w:val=""/>
        </w:rPr>
        <w:t xml:space="preserve">Накладные расходы</w:t>
      </w:r>
    </w:p>
    <w:p>
      <w:pPr>
        <w:jc w:val="both"/>
        <w:ind w:left="880"/>
        <w:spacing w:before="0" w:after="0" w:line="288" w:lineRule="auto"/>
        <w:numPr>
          <w:ilvl w:val="2"/>
          <w:numId w:val="15"/>
        </w:numPr>
        <w:rPr>
          <w:sz w:val="28"/>
          <w:szCs w:val="28"/>
          <w:u w:val=""/>
        </w:rPr>
      </w:pPr>
      <w:r>
        <w:rPr>
          <w:rFonts w:ascii="Times New Roman" w:hAnsi="Times New Roman" w:eastAsia="Times New Roman" w:cs="Times New Roman"/>
          <w:sz w:val="28"/>
          <w:szCs w:val="28"/>
          <w:u w:val=""/>
        </w:rPr>
        <w:t xml:space="preserve">Капитальные затраты и амортизация</w:t>
      </w:r>
    </w:p>
    <w:p>
      <w:pPr>
        <w:jc w:val="both"/>
        <w:ind w:left="880"/>
        <w:spacing w:before="0" w:after="0" w:line="288" w:lineRule="auto"/>
        <w:numPr>
          <w:ilvl w:val="2"/>
          <w:numId w:val="15"/>
        </w:numPr>
        <w:rPr>
          <w:sz w:val="28"/>
          <w:szCs w:val="28"/>
          <w:u w:val=""/>
        </w:rPr>
      </w:pPr>
      <w:r>
        <w:rPr>
          <w:rFonts w:ascii="Times New Roman" w:hAnsi="Times New Roman" w:eastAsia="Times New Roman" w:cs="Times New Roman"/>
          <w:sz w:val="28"/>
          <w:szCs w:val="28"/>
          <w:u w:val=""/>
        </w:rPr>
        <w:t xml:space="preserve">Обоснование потребности в оборотном капитале</w:t>
      </w:r>
    </w:p>
    <w:p>
      <w:pPr>
        <w:jc w:val="both"/>
        <w:ind w:left="496"/>
        <w:spacing w:before="0" w:after="0" w:line="288" w:lineRule="auto"/>
        <w:numPr>
          <w:ilvl w:val="1"/>
          <w:numId w:val="14"/>
        </w:numPr>
        <w:rPr>
          <w:sz w:val="28"/>
          <w:szCs w:val="28"/>
          <w:u w:val=""/>
        </w:rPr>
      </w:pPr>
      <w:r>
        <w:rPr>
          <w:rFonts w:ascii="Times New Roman" w:hAnsi="Times New Roman" w:eastAsia="Times New Roman" w:cs="Times New Roman"/>
          <w:sz w:val="28"/>
          <w:szCs w:val="28"/>
          <w:u w:val=""/>
        </w:rPr>
        <w:t xml:space="preserve">Расчет прибыли, убытков и денежных потоков</w:t>
      </w:r>
    </w:p>
    <w:p>
      <w:pPr>
        <w:jc w:val="both"/>
        <w:ind w:left="496"/>
        <w:spacing w:before="0" w:after="0" w:line="288" w:lineRule="auto"/>
        <w:numPr>
          <w:ilvl w:val="1"/>
          <w:numId w:val="14"/>
        </w:numPr>
        <w:rPr>
          <w:sz w:val="28"/>
          <w:szCs w:val="28"/>
          <w:u w:val=""/>
        </w:rPr>
      </w:pPr>
      <w:r>
        <w:rPr>
          <w:rFonts w:ascii="Times New Roman" w:hAnsi="Times New Roman" w:eastAsia="Times New Roman" w:cs="Times New Roman"/>
          <w:sz w:val="28"/>
          <w:szCs w:val="28"/>
          <w:u w:val=""/>
        </w:rPr>
        <w:t xml:space="preserve">Оценка экономической эффективности проекта</w:t>
      </w:r>
    </w:p>
    <w:p>
      <w:pPr>
        <w:jc w:val="both"/>
        <w:ind w:left="112"/>
        <w:spacing w:before="0" w:after="0" w:line="288" w:lineRule="auto"/>
        <w:numPr>
          <w:ilvl w:val="0"/>
          <w:numId w:val="9"/>
        </w:numPr>
        <w:rPr>
          <w:sz w:val="28"/>
          <w:szCs w:val="28"/>
          <w:u w:val=""/>
        </w:rPr>
      </w:pPr>
      <w:r>
        <w:rPr>
          <w:rFonts w:ascii="Times New Roman" w:hAnsi="Times New Roman" w:eastAsia="Times New Roman" w:cs="Times New Roman"/>
          <w:sz w:val="28"/>
          <w:szCs w:val="28"/>
          <w:b/>
          <w:u w:val=""/>
        </w:rPr>
        <w:t xml:space="preserve">План финансирования</w:t>
      </w:r>
    </w:p>
    <w:p>
      <w:pPr>
        <w:jc w:val="both"/>
        <w:ind w:left="112"/>
        <w:spacing w:before="0" w:after="0" w:line="288" w:lineRule="auto"/>
        <w:numPr>
          <w:ilvl w:val="0"/>
          <w:numId w:val="9"/>
        </w:numPr>
        <w:rPr>
          <w:sz w:val="28"/>
          <w:szCs w:val="28"/>
          <w:u w:val=""/>
        </w:rPr>
      </w:pPr>
      <w:r>
        <w:rPr>
          <w:rFonts w:ascii="Times New Roman" w:hAnsi="Times New Roman" w:eastAsia="Times New Roman" w:cs="Times New Roman"/>
          <w:sz w:val="28"/>
          <w:szCs w:val="28"/>
          <w:b/>
          <w:u w:val=""/>
        </w:rPr>
        <w:t xml:space="preserve">Оценка и анализ проектных рисков</w:t>
      </w:r>
    </w:p>
    <w:p>
      <w:pPr>
        <w:jc w:val="both"/>
        <w:ind w:left="496"/>
        <w:spacing w:before="0" w:after="0" w:line="288" w:lineRule="auto"/>
        <w:numPr>
          <w:ilvl w:val="1"/>
          <w:numId w:val="16"/>
        </w:numPr>
        <w:rPr>
          <w:sz w:val="28"/>
          <w:szCs w:val="28"/>
          <w:u w:val=""/>
        </w:rPr>
      </w:pPr>
      <w:r>
        <w:rPr>
          <w:rFonts w:ascii="Times New Roman" w:hAnsi="Times New Roman" w:eastAsia="Times New Roman" w:cs="Times New Roman"/>
          <w:sz w:val="28"/>
          <w:szCs w:val="28"/>
          <w:u w:val=""/>
        </w:rPr>
        <w:t xml:space="preserve">Анализ чувствительности</w:t>
      </w:r>
    </w:p>
    <w:p>
      <w:pPr>
        <w:jc w:val="both"/>
        <w:ind w:left="496"/>
        <w:spacing w:before="0" w:after="0" w:line="288" w:lineRule="auto"/>
        <w:numPr>
          <w:ilvl w:val="1"/>
          <w:numId w:val="16"/>
        </w:numPr>
        <w:rPr>
          <w:sz w:val="28"/>
          <w:szCs w:val="28"/>
          <w:u w:val=""/>
        </w:rPr>
      </w:pPr>
      <w:r>
        <w:rPr>
          <w:rFonts w:ascii="Times New Roman" w:hAnsi="Times New Roman" w:eastAsia="Times New Roman" w:cs="Times New Roman"/>
          <w:sz w:val="28"/>
          <w:szCs w:val="28"/>
          <w:u w:val=""/>
        </w:rPr>
        <w:t xml:space="preserve">Оценка проектных рисков</w:t>
      </w:r>
    </w:p>
    <w:p>
      <w:pPr>
        <w:jc w:val="both"/>
        <w:ind w:left="112"/>
        <w:spacing w:before="0" w:after="0" w:line="288" w:lineRule="auto"/>
        <w:numPr>
          <w:ilvl w:val="0"/>
          <w:numId w:val="9"/>
        </w:numPr>
        <w:rPr>
          <w:sz w:val="28"/>
          <w:szCs w:val="28"/>
          <w:u w:val=""/>
        </w:rPr>
      </w:pPr>
      <w:r>
        <w:rPr>
          <w:rFonts w:ascii="Times New Roman" w:hAnsi="Times New Roman" w:eastAsia="Times New Roman" w:cs="Times New Roman"/>
          <w:sz w:val="28"/>
          <w:szCs w:val="28"/>
          <w:b/>
          <w:u w:val=""/>
        </w:rPr>
        <w:t xml:space="preserve">Обеспечение</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u w:val=""/>
        </w:rPr>
        <w:t xml:space="preserve">Для оформления бизнес-плана использовать приводимое ниже его описание с комментариями.</w:t>
      </w:r>
    </w:p>
    <w:p>
      <w:pPr>
        <w:jc w:val="left"/>
        <w:ind/>
        <w:spacing w:before="0" w:after="0" w:line="432" w:lineRule="auto"/>
      </w:pPr>
      <w:r>
        <w:rPr>
          <w:sz w:val="28"/>
          <w:szCs w:val="28"/>
          <w:u w:val=""/>
        </w:rPr>
        <w:t xml:space="preserve"> </w:t>
      </w:r>
    </w:p>
    <w:p>
      <w:pPr>
        <w:jc w:val="center"/>
        <w:ind/>
        <w:spacing w:before="0" w:after="0" w:line="288" w:lineRule="auto"/>
      </w:pPr>
      <w:r>
        <w:rPr>
          <w:rFonts w:ascii="Times New Roman" w:hAnsi="Times New Roman" w:eastAsia="Times New Roman" w:cs="Times New Roman"/>
          <w:sz w:val="28"/>
          <w:szCs w:val="28"/>
          <w:b/>
          <w:u w:val=""/>
        </w:rPr>
        <w:t xml:space="preserve">ТИТУЛЬНЫЙ ЛИСТ БИЗНЕС-ПЛАНА ПРОЕКТА</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u w:val=""/>
        </w:rPr>
        <w:t xml:space="preserve">Наименование предприятия – инициатора проекта.</w:t>
      </w:r>
    </w:p>
    <w:p>
      <w:pPr>
        <w:jc w:val="both"/>
        <w:ind/>
        <w:spacing w:before="0" w:after="0" w:line="288" w:lineRule="auto"/>
      </w:pPr>
      <w:r>
        <w:rPr>
          <w:rFonts w:ascii="Times New Roman" w:hAnsi="Times New Roman" w:eastAsia="Times New Roman" w:cs="Times New Roman"/>
          <w:sz w:val="28"/>
          <w:szCs w:val="28"/>
          <w:u w:val=""/>
        </w:rPr>
        <w:t xml:space="preserve">Наименование проекта.</w:t>
      </w:r>
    </w:p>
    <w:p>
      <w:pPr>
        <w:jc w:val="both"/>
        <w:ind/>
        <w:spacing w:before="0" w:after="0" w:line="288" w:lineRule="auto"/>
      </w:pPr>
      <w:r>
        <w:rPr>
          <w:rFonts w:ascii="Times New Roman" w:hAnsi="Times New Roman" w:eastAsia="Times New Roman" w:cs="Times New Roman"/>
          <w:sz w:val="28"/>
          <w:szCs w:val="28"/>
          <w:u w:val=""/>
        </w:rPr>
        <w:t xml:space="preserve">Утверждающая подпись руководителя предприятия – инициатора проекта. Год и месяц составления бизнес-плана.</w:t>
      </w:r>
    </w:p>
    <w:p>
      <w:pPr>
        <w:jc w:val="left"/>
        <w:ind/>
        <w:spacing w:before="0" w:after="0" w:line="432" w:lineRule="auto"/>
      </w:pPr>
      <w:r>
        <w:rPr>
          <w:sz w:val="28"/>
          <w:szCs w:val="28"/>
          <w:u w:val=""/>
        </w:rPr>
        <w:t xml:space="preserve"> </w:t>
      </w:r>
    </w:p>
    <w:p>
      <w:pPr>
        <w:jc w:val="center"/>
        <w:ind w:left="192"/>
        <w:spacing w:before="0" w:after="0" w:line="288" w:lineRule="auto"/>
        <w:numPr>
          <w:ilvl w:val="0"/>
          <w:numId w:val="17"/>
        </w:numPr>
        <w:rPr>
          <w:sz w:val="28"/>
          <w:szCs w:val="28"/>
          <w:u w:val=""/>
        </w:rPr>
      </w:pPr>
      <w:r>
        <w:rPr>
          <w:rFonts w:ascii="Times New Roman" w:hAnsi="Times New Roman" w:eastAsia="Times New Roman" w:cs="Times New Roman"/>
          <w:sz w:val="28"/>
          <w:szCs w:val="28"/>
          <w:b/>
          <w:u w:val=""/>
        </w:rPr>
        <w:t xml:space="preserve">Краткий обзор (резюме) проекта</w:t>
      </w:r>
    </w:p>
    <w:p>
      <w:pPr>
        <w:jc w:val="center"/>
        <w:ind/>
        <w:spacing w:before="0" w:after="0" w:line="288" w:lineRule="auto"/>
      </w:pPr>
      <w:r>
        <w:rPr>
          <w:rFonts w:ascii="Times New Roman" w:hAnsi="Times New Roman" w:eastAsia="Times New Roman" w:cs="Times New Roman"/>
          <w:sz w:val="28"/>
          <w:szCs w:val="28"/>
          <w:u w:val=""/>
        </w:rPr>
        <w:t xml:space="preserve">(основные положения бизнес-плана для представления руководству АО «Кавказ.РФ»)</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u w:val=""/>
        </w:rPr>
        <w:t xml:space="preserve">Наименование проекта. Инициатор проекта.</w:t>
      </w:r>
    </w:p>
    <w:p>
      <w:pPr>
        <w:jc w:val="both"/>
        <w:ind/>
        <w:spacing w:before="0" w:after="0" w:line="288" w:lineRule="auto"/>
      </w:pPr>
      <w:r>
        <w:rPr>
          <w:rFonts w:ascii="Times New Roman" w:hAnsi="Times New Roman" w:eastAsia="Times New Roman" w:cs="Times New Roman"/>
          <w:sz w:val="28"/>
          <w:szCs w:val="28"/>
          <w:u w:val=""/>
        </w:rPr>
        <w:t xml:space="preserve">Местонахождение проекта.</w:t>
      </w:r>
    </w:p>
    <w:p>
      <w:pPr>
        <w:jc w:val="both"/>
        <w:ind/>
        <w:spacing w:before="0" w:after="0" w:line="288" w:lineRule="auto"/>
      </w:pPr>
      <w:r>
        <w:rPr>
          <w:rFonts w:ascii="Times New Roman" w:hAnsi="Times New Roman" w:eastAsia="Times New Roman" w:cs="Times New Roman"/>
          <w:sz w:val="28"/>
          <w:szCs w:val="28"/>
          <w:u w:val=""/>
        </w:rPr>
        <w:t xml:space="preserve">Организационно-правовая форма реализации проекта. </w:t>
      </w:r>
    </w:p>
    <w:p>
      <w:pPr>
        <w:jc w:val="both"/>
        <w:ind/>
        <w:spacing w:before="0" w:after="0" w:line="288" w:lineRule="auto"/>
      </w:pPr>
      <w:r>
        <w:rPr>
          <w:rFonts w:ascii="Times New Roman" w:hAnsi="Times New Roman" w:eastAsia="Times New Roman" w:cs="Times New Roman"/>
          <w:sz w:val="28"/>
          <w:szCs w:val="28"/>
          <w:b/>
          <w:u w:val=""/>
        </w:rPr>
        <w:t xml:space="preserve">Суть проекта:</w:t>
      </w:r>
    </w:p>
    <w:p>
      <w:pPr>
        <w:jc w:val="both"/>
        <w:ind w:left="576"/>
        <w:spacing w:before="0" w:after="0" w:line="288" w:lineRule="auto"/>
        <w:numPr>
          <w:ilvl w:val="0"/>
          <w:numId w:val="18"/>
        </w:numPr>
        <w:rPr>
          <w:sz w:val="28"/>
          <w:szCs w:val="28"/>
          <w:u w:val=""/>
        </w:rPr>
      </w:pPr>
      <w:r>
        <w:rPr>
          <w:rFonts w:ascii="Times New Roman" w:hAnsi="Times New Roman" w:eastAsia="Times New Roman" w:cs="Times New Roman"/>
          <w:sz w:val="28"/>
          <w:szCs w:val="28"/>
          <w:u w:val=""/>
        </w:rPr>
        <w:t xml:space="preserve">цель проекта: объем продаж (доля рынка), прибыль (рентабельность), которые планируется достигнуть;</w:t>
      </w:r>
    </w:p>
    <w:p>
      <w:pPr>
        <w:jc w:val="both"/>
        <w:ind w:left="576"/>
        <w:spacing w:before="0" w:after="0" w:line="288" w:lineRule="auto"/>
        <w:numPr>
          <w:ilvl w:val="0"/>
          <w:numId w:val="18"/>
        </w:numPr>
        <w:rPr>
          <w:sz w:val="28"/>
          <w:szCs w:val="28"/>
          <w:u w:val=""/>
        </w:rPr>
      </w:pPr>
      <w:r>
        <w:rPr>
          <w:rFonts w:ascii="Times New Roman" w:hAnsi="Times New Roman" w:eastAsia="Times New Roman" w:cs="Times New Roman"/>
          <w:sz w:val="28"/>
          <w:szCs w:val="28"/>
          <w:u w:val=""/>
        </w:rPr>
        <w:t xml:space="preserve">тип проекта: модернизация оборудования, реконструкция, новое строительство;</w:t>
      </w:r>
    </w:p>
    <w:p>
      <w:pPr>
        <w:jc w:val="both"/>
        <w:ind w:left="576"/>
        <w:spacing w:before="0" w:after="0" w:line="288" w:lineRule="auto"/>
        <w:numPr>
          <w:ilvl w:val="0"/>
          <w:numId w:val="18"/>
        </w:numPr>
        <w:rPr>
          <w:sz w:val="28"/>
          <w:szCs w:val="28"/>
          <w:u w:val=""/>
        </w:rPr>
      </w:pPr>
      <w:r>
        <w:rPr>
          <w:rFonts w:ascii="Times New Roman" w:hAnsi="Times New Roman" w:eastAsia="Times New Roman" w:cs="Times New Roman"/>
          <w:sz w:val="28"/>
          <w:szCs w:val="28"/>
          <w:u w:val=""/>
        </w:rPr>
        <w:t xml:space="preserve">способ достижения цели: снижение себестоимости производства выпускаемой продукции, расширение действующего производства, разработка и выпуск новой конкурентоспособной продукции, освоение новой технологии производства (инновации), выход на новые рынки сбыта и т.п.</w:t>
      </w:r>
    </w:p>
    <w:p>
      <w:pPr>
        <w:jc w:val="both"/>
        <w:ind/>
        <w:spacing w:before="0" w:after="0" w:line="288" w:lineRule="auto"/>
      </w:pPr>
      <w:r>
        <w:rPr>
          <w:rFonts w:ascii="Times New Roman" w:hAnsi="Times New Roman" w:eastAsia="Times New Roman" w:cs="Times New Roman"/>
          <w:sz w:val="28"/>
          <w:szCs w:val="28"/>
          <w:u w:val=""/>
        </w:rPr>
        <w:t xml:space="preserve">С</w:t>
      </w:r>
      <w:r>
        <w:rPr>
          <w:rFonts w:ascii="Times New Roman" w:hAnsi="Times New Roman" w:eastAsia="Times New Roman" w:cs="Times New Roman"/>
          <w:sz w:val="28"/>
          <w:szCs w:val="28"/>
          <w:b/>
          <w:u w:val=""/>
        </w:rPr>
        <w:t xml:space="preserve">роки и этапы реализации проекта, в том числе выполненные работы по проекту. </w:t>
      </w:r>
      <w:r>
        <w:rPr>
          <w:rFonts w:ascii="Times New Roman" w:hAnsi="Times New Roman" w:eastAsia="Times New Roman" w:cs="Times New Roman"/>
          <w:sz w:val="28"/>
          <w:szCs w:val="28"/>
          <w:u w:val=""/>
        </w:rPr>
        <w:t xml:space="preserve">Финансовые ресурсы, необходимые для осуществления проекта:</w:t>
      </w:r>
    </w:p>
    <w:p>
      <w:pPr>
        <w:jc w:val="both"/>
        <w:ind w:left="576"/>
        <w:spacing w:before="0" w:after="0" w:line="288" w:lineRule="auto"/>
        <w:numPr>
          <w:ilvl w:val="0"/>
          <w:numId w:val="19"/>
        </w:numPr>
        <w:rPr>
          <w:sz w:val="28"/>
          <w:szCs w:val="28"/>
          <w:u w:val=""/>
        </w:rPr>
      </w:pPr>
      <w:r>
        <w:rPr>
          <w:rFonts w:ascii="Times New Roman" w:hAnsi="Times New Roman" w:eastAsia="Times New Roman" w:cs="Times New Roman"/>
          <w:sz w:val="28"/>
          <w:szCs w:val="28"/>
          <w:u w:val=""/>
        </w:rPr>
        <w:t xml:space="preserve">общая стоимость проекта; объем выполненных работ; потребность </w:t>
      </w:r>
      <w:r>
        <w:br/>
      </w:r>
      <w:r>
        <w:rPr>
          <w:rFonts w:ascii="Times New Roman" w:hAnsi="Times New Roman" w:eastAsia="Times New Roman" w:cs="Times New Roman"/>
          <w:sz w:val="28"/>
          <w:szCs w:val="28"/>
          <w:u w:val=""/>
        </w:rPr>
        <w:t xml:space="preserve">в финансировании.</w:t>
      </w:r>
    </w:p>
    <w:p>
      <w:pPr>
        <w:jc w:val="both"/>
        <w:ind/>
        <w:spacing w:before="0" w:after="0" w:line="288" w:lineRule="auto"/>
      </w:pPr>
      <w:r>
        <w:rPr>
          <w:rFonts w:ascii="Times New Roman" w:hAnsi="Times New Roman" w:eastAsia="Times New Roman" w:cs="Times New Roman"/>
          <w:sz w:val="28"/>
          <w:szCs w:val="28"/>
          <w:b/>
          <w:u w:val=""/>
        </w:rPr>
        <w:t xml:space="preserve">Схема финансирования</w:t>
      </w:r>
      <w:r>
        <w:rPr>
          <w:rFonts w:ascii="Times New Roman" w:hAnsi="Times New Roman" w:eastAsia="Times New Roman" w:cs="Times New Roman"/>
          <w:sz w:val="28"/>
          <w:szCs w:val="28"/>
          <w:u w:val=""/>
        </w:rPr>
        <w:t xml:space="preserve">:</w:t>
      </w:r>
    </w:p>
    <w:p>
      <w:pPr>
        <w:jc w:val="both"/>
        <w:ind w:left="576"/>
        <w:spacing w:before="0" w:after="0" w:line="288" w:lineRule="auto"/>
        <w:numPr>
          <w:ilvl w:val="0"/>
          <w:numId w:val="20"/>
        </w:numPr>
        <w:rPr>
          <w:sz w:val="28"/>
          <w:szCs w:val="28"/>
          <w:u w:val=""/>
        </w:rPr>
      </w:pPr>
      <w:r>
        <w:rPr>
          <w:rFonts w:ascii="Times New Roman" w:hAnsi="Times New Roman" w:eastAsia="Times New Roman" w:cs="Times New Roman"/>
          <w:sz w:val="28"/>
          <w:szCs w:val="28"/>
          <w:u w:val=""/>
        </w:rPr>
        <w:t xml:space="preserve">соотношение собственных и заемных средств; объем кредита;</w:t>
      </w:r>
    </w:p>
    <w:p>
      <w:pPr>
        <w:jc w:val="both"/>
        <w:ind w:left="576"/>
        <w:spacing w:before="0" w:after="0" w:line="288" w:lineRule="auto"/>
        <w:numPr>
          <w:ilvl w:val="0"/>
          <w:numId w:val="20"/>
        </w:numPr>
        <w:rPr>
          <w:sz w:val="28"/>
          <w:szCs w:val="28"/>
          <w:u w:val=""/>
        </w:rPr>
      </w:pPr>
      <w:r>
        <w:rPr>
          <w:rFonts w:ascii="Times New Roman" w:hAnsi="Times New Roman" w:eastAsia="Times New Roman" w:cs="Times New Roman"/>
          <w:sz w:val="28"/>
          <w:szCs w:val="28"/>
          <w:u w:val=""/>
        </w:rPr>
        <w:t xml:space="preserve">процентная ставка;</w:t>
      </w:r>
    </w:p>
    <w:p>
      <w:pPr>
        <w:jc w:val="both"/>
        <w:ind w:left="576"/>
        <w:spacing w:before="0" w:after="0" w:line="288" w:lineRule="auto"/>
        <w:numPr>
          <w:ilvl w:val="0"/>
          <w:numId w:val="20"/>
        </w:numPr>
        <w:rPr>
          <w:sz w:val="28"/>
          <w:szCs w:val="28"/>
          <w:u w:val=""/>
        </w:rPr>
      </w:pPr>
      <w:r>
        <w:rPr>
          <w:rFonts w:ascii="Times New Roman" w:hAnsi="Times New Roman" w:eastAsia="Times New Roman" w:cs="Times New Roman"/>
          <w:sz w:val="28"/>
          <w:szCs w:val="28"/>
          <w:u w:val=""/>
        </w:rPr>
        <w:t xml:space="preserve">график предоставления и возврата кредита.</w:t>
      </w:r>
    </w:p>
    <w:p>
      <w:pPr>
        <w:jc w:val="both"/>
        <w:ind/>
        <w:spacing w:before="0" w:after="0" w:line="288" w:lineRule="auto"/>
      </w:pPr>
      <w:r>
        <w:rPr>
          <w:rFonts w:ascii="Times New Roman" w:hAnsi="Times New Roman" w:eastAsia="Times New Roman" w:cs="Times New Roman"/>
          <w:sz w:val="28"/>
          <w:szCs w:val="28"/>
          <w:b/>
          <w:u w:val=""/>
        </w:rPr>
        <w:t xml:space="preserve">Оценка экономической эффективности проекта</w:t>
      </w:r>
      <w:r>
        <w:rPr>
          <w:rFonts w:ascii="Times New Roman" w:hAnsi="Times New Roman" w:eastAsia="Times New Roman" w:cs="Times New Roman"/>
          <w:sz w:val="28"/>
          <w:szCs w:val="28"/>
          <w:u w:val=""/>
        </w:rPr>
        <w:t xml:space="preserve">:</w:t>
      </w:r>
    </w:p>
    <w:p>
      <w:pPr>
        <w:jc w:val="both"/>
        <w:ind w:left="576"/>
        <w:spacing w:before="0" w:after="0" w:line="288" w:lineRule="auto"/>
        <w:numPr>
          <w:ilvl w:val="0"/>
          <w:numId w:val="21"/>
        </w:numPr>
        <w:rPr>
          <w:sz w:val="28"/>
          <w:szCs w:val="28"/>
          <w:u w:val=""/>
        </w:rPr>
      </w:pPr>
      <w:r>
        <w:rPr>
          <w:rFonts w:ascii="Times New Roman" w:hAnsi="Times New Roman" w:eastAsia="Times New Roman" w:cs="Times New Roman"/>
          <w:sz w:val="28"/>
          <w:szCs w:val="28"/>
          <w:u w:val=""/>
        </w:rPr>
        <w:t xml:space="preserve">срок окупаемости – PBP;</w:t>
      </w:r>
    </w:p>
    <w:p>
      <w:pPr>
        <w:jc w:val="both"/>
        <w:ind w:left="576"/>
        <w:spacing w:before="0" w:after="0" w:line="288" w:lineRule="auto"/>
        <w:numPr>
          <w:ilvl w:val="0"/>
          <w:numId w:val="21"/>
        </w:numPr>
        <w:rPr>
          <w:sz w:val="28"/>
          <w:szCs w:val="28"/>
          <w:u w:val=""/>
        </w:rPr>
      </w:pPr>
      <w:r>
        <w:rPr>
          <w:rFonts w:ascii="Times New Roman" w:hAnsi="Times New Roman" w:eastAsia="Times New Roman" w:cs="Times New Roman"/>
          <w:sz w:val="28"/>
          <w:szCs w:val="28"/>
          <w:u w:val=""/>
        </w:rPr>
        <w:t xml:space="preserve">принятая ставка дисконтирования - D;</w:t>
      </w:r>
    </w:p>
    <w:p>
      <w:pPr>
        <w:jc w:val="both"/>
        <w:ind w:left="576"/>
        <w:spacing w:before="0" w:after="0" w:line="288" w:lineRule="auto"/>
        <w:numPr>
          <w:ilvl w:val="0"/>
          <w:numId w:val="21"/>
        </w:numPr>
        <w:rPr>
          <w:sz w:val="28"/>
          <w:szCs w:val="28"/>
          <w:u w:val=""/>
        </w:rPr>
      </w:pPr>
      <w:r>
        <w:rPr>
          <w:rFonts w:ascii="Times New Roman" w:hAnsi="Times New Roman" w:eastAsia="Times New Roman" w:cs="Times New Roman"/>
          <w:sz w:val="28"/>
          <w:szCs w:val="28"/>
          <w:u w:val=""/>
        </w:rPr>
        <w:t xml:space="preserve">дисконтированный срок окупаемости – DPBP; чистая приведенная стоимость – NPV; внутренняя норма доходности – IRR;</w:t>
      </w:r>
    </w:p>
    <w:p>
      <w:pPr>
        <w:jc w:val="both"/>
        <w:ind w:left="576"/>
        <w:spacing w:before="0" w:after="0" w:line="288" w:lineRule="auto"/>
        <w:numPr>
          <w:ilvl w:val="0"/>
          <w:numId w:val="21"/>
        </w:numPr>
        <w:rPr>
          <w:sz w:val="28"/>
          <w:szCs w:val="28"/>
          <w:u w:val=""/>
        </w:rPr>
      </w:pPr>
      <w:r>
        <w:rPr>
          <w:rFonts w:ascii="Times New Roman" w:hAnsi="Times New Roman" w:eastAsia="Times New Roman" w:cs="Times New Roman"/>
          <w:sz w:val="28"/>
          <w:szCs w:val="28"/>
          <w:u w:val=""/>
        </w:rPr>
        <w:t xml:space="preserve">точка безубыточности проекта – BEP; срок возврата заемных средств – RP;</w:t>
      </w:r>
    </w:p>
    <w:p>
      <w:pPr>
        <w:jc w:val="both"/>
        <w:ind w:left="576"/>
        <w:spacing w:before="0" w:after="0" w:line="288" w:lineRule="auto"/>
        <w:numPr>
          <w:ilvl w:val="0"/>
          <w:numId w:val="21"/>
        </w:numPr>
        <w:rPr>
          <w:sz w:val="28"/>
          <w:szCs w:val="28"/>
          <w:u w:val=""/>
        </w:rPr>
      </w:pPr>
      <w:r>
        <w:rPr>
          <w:rFonts w:ascii="Times New Roman" w:hAnsi="Times New Roman" w:eastAsia="Times New Roman" w:cs="Times New Roman"/>
          <w:sz w:val="28"/>
          <w:szCs w:val="28"/>
          <w:u w:val=""/>
        </w:rPr>
        <w:t xml:space="preserve">коэффициент покрытия ссудной задолженности.</w:t>
      </w:r>
    </w:p>
    <w:p>
      <w:pPr>
        <w:jc w:val="both"/>
        <w:ind/>
        <w:spacing w:before="0" w:after="0" w:line="288" w:lineRule="auto"/>
      </w:pPr>
      <w:r>
        <w:rPr>
          <w:rFonts w:ascii="Times New Roman" w:hAnsi="Times New Roman" w:eastAsia="Times New Roman" w:cs="Times New Roman"/>
          <w:sz w:val="28"/>
          <w:szCs w:val="28"/>
          <w:b/>
          <w:u w:val=""/>
        </w:rPr>
        <w:t xml:space="preserve">Оценка рисков проекта. </w:t>
      </w:r>
    </w:p>
    <w:p>
      <w:pPr>
        <w:jc w:val="both"/>
        <w:ind/>
        <w:spacing w:before="0" w:after="0" w:line="288" w:lineRule="auto"/>
      </w:pPr>
      <w:r>
        <w:rPr>
          <w:rFonts w:ascii="Times New Roman" w:hAnsi="Times New Roman" w:eastAsia="Times New Roman" w:cs="Times New Roman"/>
          <w:sz w:val="28"/>
          <w:szCs w:val="28"/>
          <w:u w:val=""/>
        </w:rPr>
        <w:t xml:space="preserve">Обеспечение проекта.</w:t>
      </w:r>
    </w:p>
    <w:p>
      <w:pPr>
        <w:jc w:val="both"/>
        <w:ind/>
        <w:spacing w:before="0" w:after="0" w:line="288" w:lineRule="auto"/>
      </w:pPr>
      <w:r>
        <w:rPr>
          <w:rFonts w:ascii="Times New Roman" w:hAnsi="Times New Roman" w:eastAsia="Times New Roman" w:cs="Times New Roman"/>
          <w:sz w:val="28"/>
          <w:szCs w:val="28"/>
          <w:u w:val=""/>
        </w:rPr>
        <w:t xml:space="preserve">Основные препятствия, способные помешать реализации проекта.</w:t>
      </w:r>
    </w:p>
    <w:p>
      <w:pPr>
        <w:jc w:val="left"/>
        <w:ind/>
        <w:spacing w:before="0" w:after="0" w:line="432" w:lineRule="auto"/>
      </w:pPr>
      <w:r>
        <w:rPr>
          <w:sz w:val="28"/>
          <w:szCs w:val="28"/>
          <w:u w:val=""/>
        </w:rPr>
        <w:t xml:space="preserve"> </w:t>
      </w:r>
    </w:p>
    <w:p>
      <w:pPr>
        <w:jc w:val="center"/>
        <w:ind w:left="192"/>
        <w:spacing w:before="0" w:after="0" w:line="288" w:lineRule="auto"/>
        <w:numPr>
          <w:ilvl w:val="0"/>
          <w:numId w:val="22"/>
        </w:numPr>
        <w:rPr>
          <w:sz w:val="28"/>
          <w:szCs w:val="28"/>
          <w:u w:val=""/>
        </w:rPr>
      </w:pPr>
      <w:r>
        <w:rPr>
          <w:rFonts w:ascii="Times New Roman" w:hAnsi="Times New Roman" w:eastAsia="Times New Roman" w:cs="Times New Roman"/>
          <w:sz w:val="28"/>
          <w:szCs w:val="28"/>
          <w:b/>
          <w:u w:val=""/>
        </w:rPr>
        <w:t xml:space="preserve">Инициатор проекта</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b/>
          <w:u w:val=""/>
        </w:rPr>
        <w:t xml:space="preserve">Инициатор проекта – </w:t>
      </w:r>
      <w:r>
        <w:rPr>
          <w:rFonts w:ascii="Times New Roman" w:hAnsi="Times New Roman" w:eastAsia="Times New Roman" w:cs="Times New Roman"/>
          <w:sz w:val="28"/>
          <w:szCs w:val="28"/>
          <w:u w:val=""/>
        </w:rPr>
        <w:t xml:space="preserve">юридическое лицо, подающее обращение </w:t>
      </w:r>
      <w:r>
        <w:br/>
      </w:r>
      <w:r>
        <w:rPr>
          <w:rFonts w:ascii="Times New Roman" w:hAnsi="Times New Roman" w:eastAsia="Times New Roman" w:cs="Times New Roman"/>
          <w:sz w:val="28"/>
          <w:szCs w:val="28"/>
          <w:u w:val=""/>
        </w:rPr>
        <w:t xml:space="preserve">в АО «КАВКАЗ.РФ» в связи с реализацией проекта, и, как правило, потенциальный </w:t>
      </w:r>
      <w:r>
        <w:rPr>
          <w:rFonts w:ascii="Times New Roman" w:hAnsi="Times New Roman" w:eastAsia="Times New Roman" w:cs="Times New Roman"/>
          <w:sz w:val="28"/>
          <w:szCs w:val="28"/>
          <w:b/>
          <w:u w:val=""/>
        </w:rPr>
        <w:t xml:space="preserve">Заемщик </w:t>
      </w:r>
      <w:r>
        <w:rPr>
          <w:rFonts w:ascii="Times New Roman" w:hAnsi="Times New Roman" w:eastAsia="Times New Roman" w:cs="Times New Roman"/>
          <w:sz w:val="28"/>
          <w:szCs w:val="28"/>
          <w:u w:val=""/>
        </w:rPr>
        <w:t xml:space="preserve">по проекту.</w:t>
      </w:r>
    </w:p>
    <w:p>
      <w:pPr>
        <w:jc w:val="both"/>
        <w:ind w:left="112"/>
        <w:spacing w:before="0" w:after="0" w:line="288" w:lineRule="auto"/>
        <w:numPr>
          <w:ilvl w:val="1"/>
          <w:numId w:val="24"/>
        </w:numPr>
        <w:rPr>
          <w:sz w:val="28"/>
          <w:szCs w:val="28"/>
          <w:u w:val=""/>
        </w:rPr>
      </w:pPr>
      <w:r>
        <w:rPr>
          <w:rFonts w:ascii="Times New Roman" w:hAnsi="Times New Roman" w:eastAsia="Times New Roman" w:cs="Times New Roman"/>
          <w:sz w:val="28"/>
          <w:szCs w:val="28"/>
          <w:b/>
          <w:u w:val=""/>
        </w:rPr>
        <w:t xml:space="preserve">Общие данные</w:t>
      </w:r>
    </w:p>
    <w:p>
      <w:pPr>
        <w:jc w:val="both"/>
        <w:ind/>
        <w:spacing w:before="0" w:after="0" w:line="288" w:lineRule="auto"/>
      </w:pPr>
      <w:r>
        <w:rPr>
          <w:rFonts w:ascii="Times New Roman" w:hAnsi="Times New Roman" w:eastAsia="Times New Roman" w:cs="Times New Roman"/>
          <w:sz w:val="28"/>
          <w:szCs w:val="28"/>
          <w:u w:val=""/>
        </w:rPr>
        <w:t xml:space="preserve">Организационно-правовая форма, наименование, адрес и дата регистрации (начала работы). Руководитель: Ф.И.О. и должность.</w:t>
      </w:r>
    </w:p>
    <w:p>
      <w:pPr>
        <w:jc w:val="both"/>
        <w:ind/>
        <w:spacing w:before="0" w:after="0" w:line="288" w:lineRule="auto"/>
      </w:pPr>
      <w:r>
        <w:rPr>
          <w:rFonts w:ascii="Times New Roman" w:hAnsi="Times New Roman" w:eastAsia="Times New Roman" w:cs="Times New Roman"/>
          <w:sz w:val="28"/>
          <w:szCs w:val="28"/>
          <w:u w:val=""/>
        </w:rPr>
        <w:t xml:space="preserve">Специалисты для контактов. Телефон, факс, адрес электронной почты </w:t>
      </w:r>
      <w:r>
        <w:br/>
      </w:r>
      <w:r>
        <w:rPr>
          <w:rFonts w:ascii="Times New Roman" w:hAnsi="Times New Roman" w:eastAsia="Times New Roman" w:cs="Times New Roman"/>
          <w:sz w:val="28"/>
          <w:szCs w:val="28"/>
          <w:u w:val=""/>
        </w:rPr>
        <w:t xml:space="preserve">и официального сайта в информационно-телекоммуникационной сети «Интернет».</w:t>
      </w:r>
    </w:p>
    <w:p>
      <w:pPr>
        <w:jc w:val="both"/>
        <w:ind/>
        <w:spacing w:before="0" w:after="0" w:line="288" w:lineRule="auto"/>
      </w:pPr>
      <w:r>
        <w:rPr>
          <w:rFonts w:ascii="Times New Roman" w:hAnsi="Times New Roman" w:eastAsia="Times New Roman" w:cs="Times New Roman"/>
          <w:sz w:val="28"/>
          <w:szCs w:val="28"/>
          <w:u w:val=""/>
        </w:rPr>
        <w:t xml:space="preserve">Сфера деятельности и отраслевая принадлежность.</w:t>
      </w:r>
    </w:p>
    <w:p>
      <w:pPr>
        <w:jc w:val="both"/>
        <w:ind/>
        <w:spacing w:before="0" w:after="0" w:line="288" w:lineRule="auto"/>
      </w:pPr>
      <w:r>
        <w:rPr>
          <w:rFonts w:ascii="Times New Roman" w:hAnsi="Times New Roman" w:eastAsia="Times New Roman" w:cs="Times New Roman"/>
          <w:sz w:val="28"/>
          <w:szCs w:val="28"/>
          <w:u w:val=""/>
        </w:rPr>
        <w:t xml:space="preserve">Филиалы и дочерние предприятия (основные виды их деятельности).</w:t>
      </w:r>
    </w:p>
    <w:p>
      <w:pPr>
        <w:jc w:val="both"/>
        <w:ind/>
        <w:spacing w:before="0" w:after="0" w:line="288" w:lineRule="auto"/>
      </w:pPr>
      <w:r>
        <w:rPr>
          <w:rFonts w:ascii="Times New Roman" w:hAnsi="Times New Roman" w:eastAsia="Times New Roman" w:cs="Times New Roman"/>
          <w:sz w:val="28"/>
          <w:szCs w:val="28"/>
          <w:u w:val=""/>
        </w:rPr>
        <w:t xml:space="preserve">История развития предприятия: события, которые повлияли на развитие предприятия, главные успехи и достижения компании в период до настоящего времени. Важные изменения в структуре компании, управлении </w:t>
      </w:r>
      <w:r>
        <w:br/>
      </w:r>
      <w:r>
        <w:rPr>
          <w:rFonts w:ascii="Times New Roman" w:hAnsi="Times New Roman" w:eastAsia="Times New Roman" w:cs="Times New Roman"/>
          <w:sz w:val="28"/>
          <w:szCs w:val="28"/>
          <w:u w:val=""/>
        </w:rPr>
        <w:t xml:space="preserve">или собственности.</w:t>
      </w:r>
    </w:p>
    <w:p>
      <w:pPr>
        <w:jc w:val="both"/>
        <w:ind/>
        <w:spacing w:before="0" w:after="0" w:line="288" w:lineRule="auto"/>
      </w:pPr>
      <w:r>
        <w:rPr>
          <w:rFonts w:ascii="Times New Roman" w:hAnsi="Times New Roman" w:eastAsia="Times New Roman" w:cs="Times New Roman"/>
          <w:sz w:val="28"/>
          <w:szCs w:val="28"/>
          <w:u w:val=""/>
        </w:rPr>
        <w:t xml:space="preserve">Опыт работы в сфере деятельности, связанной с предлагаемым проектом.</w:t>
      </w:r>
    </w:p>
    <w:p>
      <w:pPr>
        <w:jc w:val="both"/>
        <w:ind/>
        <w:spacing w:before="0" w:after="0" w:line="288" w:lineRule="auto"/>
      </w:pPr>
      <w:r>
        <w:rPr>
          <w:rFonts w:ascii="Times New Roman" w:hAnsi="Times New Roman" w:eastAsia="Times New Roman" w:cs="Times New Roman"/>
          <w:sz w:val="28"/>
          <w:szCs w:val="28"/>
          <w:u w:val=""/>
        </w:rPr>
        <w:t xml:space="preserve">Опыт реализации аналогичных проектов – эффективность/достижение органического роста/синергия проектов/достижение поставленных целей.</w:t>
      </w:r>
    </w:p>
    <w:p>
      <w:pPr>
        <w:jc w:val="both"/>
        <w:ind/>
        <w:spacing w:before="0" w:after="0" w:line="288" w:lineRule="auto"/>
      </w:pPr>
      <w:r>
        <w:rPr>
          <w:rFonts w:ascii="Times New Roman" w:hAnsi="Times New Roman" w:eastAsia="Times New Roman" w:cs="Times New Roman"/>
          <w:sz w:val="28"/>
          <w:szCs w:val="28"/>
          <w:u w:val=""/>
        </w:rPr>
        <w:t xml:space="preserve">Описание текущего масштаба бизнеса организации – инициатора (оценка активов, доля рынка, и др.).</w:t>
      </w:r>
    </w:p>
    <w:p>
      <w:pPr>
        <w:jc w:val="both"/>
        <w:ind w:left="112"/>
        <w:spacing w:before="0" w:after="0" w:line="288" w:lineRule="auto"/>
        <w:numPr>
          <w:ilvl w:val="1"/>
          <w:numId w:val="26"/>
        </w:numPr>
        <w:rPr>
          <w:sz w:val="28"/>
          <w:szCs w:val="28"/>
          <w:u w:val=""/>
        </w:rPr>
      </w:pPr>
      <w:r>
        <w:rPr>
          <w:rFonts w:ascii="Times New Roman" w:hAnsi="Times New Roman" w:eastAsia="Times New Roman" w:cs="Times New Roman"/>
          <w:sz w:val="28"/>
          <w:szCs w:val="28"/>
          <w:b/>
          <w:u w:val=""/>
        </w:rPr>
        <w:t xml:space="preserve">Учредители (акционеры)</w:t>
      </w:r>
    </w:p>
    <w:p>
      <w:pPr>
        <w:jc w:val="both"/>
        <w:ind/>
        <w:spacing w:before="0" w:after="0" w:line="288" w:lineRule="auto"/>
      </w:pPr>
      <w:r>
        <w:rPr>
          <w:rFonts w:ascii="Times New Roman" w:hAnsi="Times New Roman" w:eastAsia="Times New Roman" w:cs="Times New Roman"/>
          <w:sz w:val="28"/>
          <w:szCs w:val="28"/>
          <w:u w:val=""/>
        </w:rPr>
        <w:t xml:space="preserve">Размер уставного (акционерного / ООО) капитала, номинальная стоимость. Количество и номинал выпущенных акций, в том числе обыкновенных </w:t>
      </w:r>
      <w:r>
        <w:br/>
      </w:r>
      <w:r>
        <w:rPr>
          <w:rFonts w:ascii="Times New Roman" w:hAnsi="Times New Roman" w:eastAsia="Times New Roman" w:cs="Times New Roman"/>
          <w:sz w:val="28"/>
          <w:szCs w:val="28"/>
          <w:u w:val=""/>
        </w:rPr>
        <w:t xml:space="preserve">и привилегированных.</w:t>
      </w:r>
    </w:p>
    <w:p>
      <w:pPr>
        <w:jc w:val="both"/>
        <w:ind/>
        <w:spacing w:before="0" w:after="0" w:line="288" w:lineRule="auto"/>
      </w:pPr>
      <w:r>
        <w:rPr>
          <w:rFonts w:ascii="Times New Roman" w:hAnsi="Times New Roman" w:eastAsia="Times New Roman" w:cs="Times New Roman"/>
          <w:sz w:val="28"/>
          <w:szCs w:val="28"/>
          <w:u w:val=""/>
        </w:rPr>
        <w:t xml:space="preserve">Доля оплаченного капитала.</w:t>
      </w:r>
    </w:p>
    <w:p>
      <w:pPr>
        <w:jc w:val="both"/>
        <w:ind/>
        <w:spacing w:before="0" w:after="0" w:line="288" w:lineRule="auto"/>
      </w:pPr>
      <w:r>
        <w:rPr>
          <w:rFonts w:ascii="Times New Roman" w:hAnsi="Times New Roman" w:eastAsia="Times New Roman" w:cs="Times New Roman"/>
          <w:sz w:val="28"/>
          <w:szCs w:val="28"/>
          <w:u w:val=""/>
        </w:rPr>
        <w:t xml:space="preserve">Количество и номинал объявленных акций.</w:t>
      </w:r>
    </w:p>
    <w:p>
      <w:pPr>
        <w:jc w:val="both"/>
        <w:ind/>
        <w:spacing w:before="0" w:after="0" w:line="288" w:lineRule="auto"/>
      </w:pPr>
      <w:r>
        <w:rPr>
          <w:rFonts w:ascii="Times New Roman" w:hAnsi="Times New Roman" w:eastAsia="Times New Roman" w:cs="Times New Roman"/>
          <w:sz w:val="28"/>
          <w:szCs w:val="28"/>
          <w:u w:val=""/>
        </w:rPr>
        <w:t xml:space="preserve">Перечень основных учредителей (акционеров), с указанием их долей </w:t>
      </w:r>
      <w:r>
        <w:br/>
      </w:r>
      <w:r>
        <w:rPr>
          <w:rFonts w:ascii="Times New Roman" w:hAnsi="Times New Roman" w:eastAsia="Times New Roman" w:cs="Times New Roman"/>
          <w:sz w:val="28"/>
          <w:szCs w:val="28"/>
          <w:u w:val=""/>
        </w:rPr>
        <w:t xml:space="preserve">в капитале (имеющие долю свыше 2 %).</w:t>
      </w:r>
    </w:p>
    <w:p>
      <w:pPr>
        <w:jc w:val="both"/>
        <w:ind w:left="112"/>
        <w:spacing w:before="0" w:after="0" w:line="288" w:lineRule="auto"/>
        <w:numPr>
          <w:ilvl w:val="1"/>
          <w:numId w:val="28"/>
        </w:numPr>
        <w:rPr>
          <w:sz w:val="28"/>
          <w:szCs w:val="28"/>
          <w:u w:val=""/>
        </w:rPr>
      </w:pPr>
      <w:r>
        <w:rPr>
          <w:rFonts w:ascii="Times New Roman" w:hAnsi="Times New Roman" w:eastAsia="Times New Roman" w:cs="Times New Roman"/>
          <w:sz w:val="28"/>
          <w:szCs w:val="28"/>
          <w:b/>
          <w:u w:val=""/>
        </w:rPr>
        <w:t xml:space="preserve">Виды и объемы деятельности</w:t>
      </w:r>
    </w:p>
    <w:p>
      <w:pPr>
        <w:jc w:val="both"/>
        <w:ind/>
        <w:spacing w:before="0" w:after="0" w:line="288" w:lineRule="auto"/>
      </w:pPr>
      <w:r>
        <w:rPr>
          <w:rFonts w:ascii="Times New Roman" w:hAnsi="Times New Roman" w:eastAsia="Times New Roman" w:cs="Times New Roman"/>
          <w:sz w:val="28"/>
          <w:szCs w:val="28"/>
          <w:u w:val=""/>
        </w:rPr>
        <w:t xml:space="preserve">Основные виды выпускаемой продукции или оказываемых услуг. Основные потребители.</w:t>
      </w:r>
    </w:p>
    <w:p>
      <w:pPr>
        <w:jc w:val="both"/>
        <w:ind/>
        <w:spacing w:before="0" w:after="0" w:line="288" w:lineRule="auto"/>
      </w:pPr>
      <w:r>
        <w:rPr>
          <w:rFonts w:ascii="Times New Roman" w:hAnsi="Times New Roman" w:eastAsia="Times New Roman" w:cs="Times New Roman"/>
          <w:sz w:val="28"/>
          <w:szCs w:val="28"/>
          <w:u w:val=""/>
        </w:rPr>
        <w:t xml:space="preserve">Объем продаж, валовая прибыль, прибыль после уплаты налогов </w:t>
      </w:r>
      <w:r>
        <w:br/>
      </w:r>
      <w:r>
        <w:rPr>
          <w:rFonts w:ascii="Times New Roman" w:hAnsi="Times New Roman" w:eastAsia="Times New Roman" w:cs="Times New Roman"/>
          <w:sz w:val="28"/>
          <w:szCs w:val="28"/>
          <w:u w:val=""/>
        </w:rPr>
        <w:t xml:space="preserve">(за предыдущие три года, в том числе за последние три квартала).</w:t>
      </w:r>
    </w:p>
    <w:p>
      <w:pPr>
        <w:jc w:val="both"/>
        <w:ind/>
        <w:spacing w:before="0" w:after="0" w:line="288" w:lineRule="auto"/>
      </w:pPr>
      <w:r>
        <w:rPr>
          <w:rFonts w:ascii="Times New Roman" w:hAnsi="Times New Roman" w:eastAsia="Times New Roman" w:cs="Times New Roman"/>
          <w:sz w:val="28"/>
          <w:szCs w:val="28"/>
          <w:u w:val=""/>
        </w:rPr>
        <w:t xml:space="preserve">Численность персонала    (общая, административный персонал, инженерно- технический персонал, рабочие, специалисты службы маркетинга и сбыта).</w:t>
      </w:r>
    </w:p>
    <w:p>
      <w:pPr>
        <w:jc w:val="both"/>
        <w:ind w:left="112"/>
        <w:spacing w:before="0" w:after="0" w:line="288" w:lineRule="auto"/>
        <w:numPr>
          <w:ilvl w:val="1"/>
          <w:numId w:val="30"/>
        </w:numPr>
        <w:rPr>
          <w:sz w:val="28"/>
          <w:szCs w:val="28"/>
          <w:u w:val=""/>
        </w:rPr>
      </w:pPr>
      <w:r>
        <w:rPr>
          <w:rFonts w:ascii="Times New Roman" w:hAnsi="Times New Roman" w:eastAsia="Times New Roman" w:cs="Times New Roman"/>
          <w:sz w:val="28"/>
          <w:szCs w:val="28"/>
          <w:b/>
          <w:u w:val=""/>
        </w:rPr>
        <w:t xml:space="preserve">Информация о руководителях</w:t>
      </w:r>
    </w:p>
    <w:p>
      <w:pPr>
        <w:jc w:val="both"/>
        <w:ind/>
        <w:spacing w:before="0" w:after="0" w:line="288" w:lineRule="auto"/>
      </w:pPr>
      <w:r>
        <w:rPr>
          <w:rFonts w:ascii="Times New Roman" w:hAnsi="Times New Roman" w:eastAsia="Times New Roman" w:cs="Times New Roman"/>
          <w:sz w:val="28"/>
          <w:szCs w:val="28"/>
          <w:u w:val=""/>
        </w:rPr>
        <w:t xml:space="preserve">Краткая характеристика лиц, ответственных за результаты работы предприятия и реализацию проекта:</w:t>
      </w:r>
    </w:p>
    <w:p>
      <w:pPr>
        <w:jc w:val="both"/>
        <w:ind w:left="192"/>
        <w:spacing w:before="0" w:after="0" w:line="288" w:lineRule="auto"/>
        <w:numPr>
          <w:ilvl w:val="0"/>
          <w:numId w:val="31"/>
        </w:numPr>
        <w:rPr>
          <w:sz w:val="28"/>
          <w:szCs w:val="28"/>
          <w:u w:val=""/>
        </w:rPr>
      </w:pPr>
      <w:r>
        <w:rPr>
          <w:rFonts w:ascii="Times New Roman" w:hAnsi="Times New Roman" w:eastAsia="Times New Roman" w:cs="Times New Roman"/>
          <w:sz w:val="28"/>
          <w:szCs w:val="28"/>
          <w:u w:val=""/>
        </w:rPr>
        <w:t xml:space="preserve">фамилия, имя, отчество; год рождения;</w:t>
      </w:r>
    </w:p>
    <w:p>
      <w:pPr>
        <w:jc w:val="both"/>
        <w:ind w:left="192"/>
        <w:spacing w:before="0" w:after="0" w:line="288" w:lineRule="auto"/>
        <w:numPr>
          <w:ilvl w:val="0"/>
          <w:numId w:val="31"/>
        </w:numPr>
        <w:rPr>
          <w:sz w:val="28"/>
          <w:szCs w:val="28"/>
          <w:u w:val=""/>
        </w:rPr>
      </w:pPr>
      <w:r>
        <w:rPr>
          <w:rFonts w:ascii="Times New Roman" w:hAnsi="Times New Roman" w:eastAsia="Times New Roman" w:cs="Times New Roman"/>
          <w:sz w:val="28"/>
          <w:szCs w:val="28"/>
          <w:u w:val=""/>
        </w:rPr>
        <w:t xml:space="preserve">должность;</w:t>
      </w:r>
    </w:p>
    <w:p>
      <w:pPr>
        <w:jc w:val="both"/>
        <w:ind w:left="192"/>
        <w:spacing w:before="0" w:after="0" w:line="288" w:lineRule="auto"/>
        <w:numPr>
          <w:ilvl w:val="0"/>
          <w:numId w:val="31"/>
        </w:numPr>
        <w:rPr>
          <w:sz w:val="28"/>
          <w:szCs w:val="28"/>
          <w:u w:val=""/>
        </w:rPr>
      </w:pPr>
      <w:r>
        <w:rPr>
          <w:rFonts w:ascii="Times New Roman" w:hAnsi="Times New Roman" w:eastAsia="Times New Roman" w:cs="Times New Roman"/>
          <w:sz w:val="28"/>
          <w:szCs w:val="28"/>
          <w:u w:val=""/>
        </w:rPr>
        <w:t xml:space="preserve">образование и квалификация;</w:t>
      </w:r>
    </w:p>
    <w:p>
      <w:pPr>
        <w:jc w:val="both"/>
        <w:ind w:left="192"/>
        <w:spacing w:before="0" w:after="0" w:line="288" w:lineRule="auto"/>
        <w:numPr>
          <w:ilvl w:val="0"/>
          <w:numId w:val="31"/>
        </w:numPr>
        <w:rPr>
          <w:sz w:val="28"/>
          <w:szCs w:val="28"/>
          <w:u w:val=""/>
        </w:rPr>
      </w:pPr>
      <w:r>
        <w:rPr>
          <w:rFonts w:ascii="Times New Roman" w:hAnsi="Times New Roman" w:eastAsia="Times New Roman" w:cs="Times New Roman"/>
          <w:sz w:val="28"/>
          <w:szCs w:val="28"/>
          <w:u w:val=""/>
        </w:rPr>
        <w:t xml:space="preserve">трудовая деятельность за последние 10 лет.</w:t>
      </w:r>
    </w:p>
    <w:p>
      <w:pPr>
        <w:jc w:val="left"/>
        <w:ind/>
        <w:spacing w:before="0" w:after="0" w:line="432" w:lineRule="auto"/>
      </w:pPr>
      <w:r>
        <w:rPr>
          <w:sz w:val="28"/>
          <w:szCs w:val="28"/>
          <w:u w:val=""/>
        </w:rPr>
        <w:t xml:space="preserve"> </w:t>
      </w:r>
    </w:p>
    <w:p>
      <w:pPr>
        <w:jc w:val="center"/>
        <w:ind w:left="192"/>
        <w:spacing w:before="0" w:after="0" w:line="288" w:lineRule="auto"/>
        <w:numPr>
          <w:ilvl w:val="0"/>
          <w:numId w:val="32"/>
        </w:numPr>
        <w:rPr>
          <w:sz w:val="28"/>
          <w:szCs w:val="28"/>
          <w:u w:val=""/>
        </w:rPr>
      </w:pPr>
      <w:r>
        <w:rPr>
          <w:rFonts w:ascii="Times New Roman" w:hAnsi="Times New Roman" w:eastAsia="Times New Roman" w:cs="Times New Roman"/>
          <w:sz w:val="28"/>
          <w:szCs w:val="28"/>
          <w:b/>
          <w:u w:val=""/>
        </w:rPr>
        <w:t xml:space="preserve">Существо предлагаемого проекта</w:t>
      </w:r>
    </w:p>
    <w:p>
      <w:pPr>
        <w:jc w:val="left"/>
        <w:ind/>
        <w:spacing w:before="0" w:after="0" w:line="432" w:lineRule="auto"/>
      </w:pPr>
      <w:r>
        <w:rPr>
          <w:sz w:val="28"/>
          <w:szCs w:val="28"/>
          <w:u w:val=""/>
        </w:rPr>
        <w:t xml:space="preserve"> </w:t>
      </w:r>
    </w:p>
    <w:p>
      <w:pPr>
        <w:jc w:val="both"/>
        <w:ind w:left="112"/>
        <w:spacing w:before="0" w:after="0" w:line="288" w:lineRule="auto"/>
        <w:numPr>
          <w:ilvl w:val="1"/>
          <w:numId w:val="34"/>
        </w:numPr>
        <w:rPr>
          <w:sz w:val="28"/>
          <w:szCs w:val="28"/>
          <w:u w:val=""/>
        </w:rPr>
      </w:pPr>
      <w:r>
        <w:rPr>
          <w:rFonts w:ascii="Times New Roman" w:hAnsi="Times New Roman" w:eastAsia="Times New Roman" w:cs="Times New Roman"/>
          <w:sz w:val="28"/>
          <w:szCs w:val="28"/>
          <w:b/>
          <w:u w:val=""/>
        </w:rPr>
        <w:t xml:space="preserve">Местонахождение объекта</w:t>
      </w:r>
    </w:p>
    <w:p>
      <w:pPr>
        <w:jc w:val="both"/>
        <w:ind/>
        <w:spacing w:before="0" w:after="0" w:line="288" w:lineRule="auto"/>
      </w:pPr>
      <w:r>
        <w:rPr>
          <w:rFonts w:ascii="Times New Roman" w:hAnsi="Times New Roman" w:eastAsia="Times New Roman" w:cs="Times New Roman"/>
          <w:sz w:val="28"/>
          <w:szCs w:val="28"/>
          <w:u w:val=""/>
        </w:rPr>
        <w:t xml:space="preserve">Обоснование выбора местоположения (при реализации проекта на новой площадке, а не на действующем предприятии Инициатора проекта).</w:t>
      </w:r>
    </w:p>
    <w:p>
      <w:pPr>
        <w:jc w:val="both"/>
        <w:ind/>
        <w:spacing w:before="0" w:after="0" w:line="288" w:lineRule="auto"/>
      </w:pPr>
      <w:r>
        <w:rPr>
          <w:rFonts w:ascii="Times New Roman" w:hAnsi="Times New Roman" w:eastAsia="Times New Roman" w:cs="Times New Roman"/>
          <w:sz w:val="28"/>
          <w:szCs w:val="28"/>
          <w:u w:val=""/>
        </w:rPr>
        <w:t xml:space="preserve">Доступность ресурсов. Близость к потребителям. Развитая инфраструктура. Близость к действующему предприятию. Другое.</w:t>
      </w:r>
    </w:p>
    <w:p>
      <w:pPr>
        <w:jc w:val="both"/>
        <w:ind/>
        <w:spacing w:before="0" w:after="0" w:line="288" w:lineRule="auto"/>
      </w:pPr>
      <w:r>
        <w:rPr>
          <w:rFonts w:ascii="Times New Roman" w:hAnsi="Times New Roman" w:eastAsia="Times New Roman" w:cs="Times New Roman"/>
          <w:sz w:val="28"/>
          <w:szCs w:val="28"/>
          <w:u w:val=""/>
        </w:rPr>
        <w:t xml:space="preserve">Наличие производственных площадей и инфраструктуры.</w:t>
      </w:r>
    </w:p>
    <w:p>
      <w:pPr>
        <w:jc w:val="both"/>
        <w:ind/>
        <w:spacing w:before="0" w:after="0" w:line="288" w:lineRule="auto"/>
      </w:pPr>
      <w:r>
        <w:rPr>
          <w:rFonts w:ascii="Times New Roman" w:hAnsi="Times New Roman" w:eastAsia="Times New Roman" w:cs="Times New Roman"/>
          <w:sz w:val="28"/>
          <w:szCs w:val="28"/>
          <w:u w:val=""/>
        </w:rPr>
        <w:t xml:space="preserve">Основные здания и сооружения, их функциональное назначение, занимаемая площадь, площадь земельного участка, права владения (собственность или аренда), стоимость (уровень арендных платежей, условия аренды, сроки).</w:t>
      </w:r>
    </w:p>
    <w:p>
      <w:pPr>
        <w:jc w:val="both"/>
        <w:ind/>
        <w:spacing w:before="0" w:after="0" w:line="288" w:lineRule="auto"/>
      </w:pPr>
      <w:r>
        <w:rPr>
          <w:rFonts w:ascii="Times New Roman" w:hAnsi="Times New Roman" w:eastAsia="Times New Roman" w:cs="Times New Roman"/>
          <w:sz w:val="28"/>
          <w:szCs w:val="28"/>
          <w:u w:val=""/>
        </w:rPr>
        <w:t xml:space="preserve">Состояние основного производственного оборудования, условия владения (собственность или аренда), стоимость (уровень арендных платежей, условия аренды, сроки).</w:t>
      </w:r>
    </w:p>
    <w:p>
      <w:pPr>
        <w:jc w:val="both"/>
        <w:ind/>
        <w:spacing w:before="0" w:after="0" w:line="288" w:lineRule="auto"/>
      </w:pPr>
      <w:r>
        <w:rPr>
          <w:rFonts w:ascii="Times New Roman" w:hAnsi="Times New Roman" w:eastAsia="Times New Roman" w:cs="Times New Roman"/>
          <w:sz w:val="28"/>
          <w:szCs w:val="28"/>
          <w:u w:val=""/>
        </w:rPr>
        <w:t xml:space="preserve">Наличие хранилищ, складов, транспортного и погрузочно-разгрузочного оборудования. Энерго-, тепло- и водоснабжение, канализация.</w:t>
      </w:r>
    </w:p>
    <w:p>
      <w:pPr>
        <w:jc w:val="both"/>
        <w:ind/>
        <w:spacing w:before="0" w:after="0" w:line="288" w:lineRule="auto"/>
      </w:pPr>
      <w:r>
        <w:rPr>
          <w:rFonts w:ascii="Times New Roman" w:hAnsi="Times New Roman" w:eastAsia="Times New Roman" w:cs="Times New Roman"/>
          <w:sz w:val="28"/>
          <w:szCs w:val="28"/>
          <w:u w:val=""/>
        </w:rPr>
        <w:t xml:space="preserve">Автомобильные и железные дороги, аэропорты, морские и речные порты, грузовые терминалы и таможенные склады и т.п.</w:t>
      </w:r>
    </w:p>
    <w:p>
      <w:pPr>
        <w:jc w:val="both"/>
        <w:ind w:left="112"/>
        <w:spacing w:before="0" w:after="0" w:line="288" w:lineRule="auto"/>
        <w:numPr>
          <w:ilvl w:val="1"/>
          <w:numId w:val="36"/>
        </w:numPr>
        <w:rPr>
          <w:sz w:val="28"/>
          <w:szCs w:val="28"/>
          <w:u w:val=""/>
        </w:rPr>
      </w:pPr>
      <w:r>
        <w:rPr>
          <w:rFonts w:ascii="Times New Roman" w:hAnsi="Times New Roman" w:eastAsia="Times New Roman" w:cs="Times New Roman"/>
          <w:sz w:val="28"/>
          <w:szCs w:val="28"/>
          <w:b/>
          <w:u w:val=""/>
        </w:rPr>
        <w:t xml:space="preserve">Описание продукта (услуги)</w:t>
      </w:r>
    </w:p>
    <w:p>
      <w:pPr>
        <w:jc w:val="both"/>
        <w:ind/>
        <w:spacing w:before="0" w:after="0" w:line="288" w:lineRule="auto"/>
      </w:pPr>
      <w:r>
        <w:rPr>
          <w:rFonts w:ascii="Times New Roman" w:hAnsi="Times New Roman" w:eastAsia="Times New Roman" w:cs="Times New Roman"/>
          <w:sz w:val="28"/>
          <w:szCs w:val="28"/>
          <w:u w:val=""/>
        </w:rPr>
        <w:t xml:space="preserve">Функциональное назначение продукта (для каких целей он предназначен). Характерные свойства продукта (уникальные, если имеются).</w:t>
      </w:r>
    </w:p>
    <w:p>
      <w:pPr>
        <w:jc w:val="both"/>
        <w:ind/>
        <w:spacing w:before="0" w:after="0" w:line="288" w:lineRule="auto"/>
      </w:pPr>
      <w:r>
        <w:rPr>
          <w:rFonts w:ascii="Times New Roman" w:hAnsi="Times New Roman" w:eastAsia="Times New Roman" w:cs="Times New Roman"/>
          <w:sz w:val="28"/>
          <w:szCs w:val="28"/>
          <w:u w:val=""/>
        </w:rPr>
        <w:t xml:space="preserve">Особые требования к качеству продукта.</w:t>
      </w:r>
    </w:p>
    <w:p>
      <w:pPr>
        <w:jc w:val="both"/>
        <w:ind/>
        <w:spacing w:before="0" w:after="0" w:line="288" w:lineRule="auto"/>
      </w:pPr>
      <w:r>
        <w:rPr>
          <w:rFonts w:ascii="Times New Roman" w:hAnsi="Times New Roman" w:eastAsia="Times New Roman" w:cs="Times New Roman"/>
          <w:sz w:val="28"/>
          <w:szCs w:val="28"/>
          <w:u w:val=""/>
        </w:rPr>
        <w:t xml:space="preserve">Сравнение с конкурирующими (замещающими или альтернативными) продуктами.</w:t>
      </w:r>
    </w:p>
    <w:p>
      <w:pPr>
        <w:jc w:val="both"/>
        <w:ind/>
        <w:spacing w:before="0" w:after="0" w:line="288" w:lineRule="auto"/>
      </w:pPr>
      <w:r>
        <w:rPr>
          <w:rFonts w:ascii="Times New Roman" w:hAnsi="Times New Roman" w:eastAsia="Times New Roman" w:cs="Times New Roman"/>
          <w:sz w:val="28"/>
          <w:szCs w:val="28"/>
          <w:u w:val=""/>
        </w:rPr>
        <w:t xml:space="preserve">Стадия развития продукта (идея, эскизный проект, рабочий проект, прототип, опытная партия, действующее серийное производство).</w:t>
      </w:r>
    </w:p>
    <w:p>
      <w:pPr>
        <w:jc w:val="both"/>
        <w:ind/>
        <w:spacing w:before="0" w:after="0" w:line="288" w:lineRule="auto"/>
      </w:pPr>
      <w:r>
        <w:rPr>
          <w:rFonts w:ascii="Times New Roman" w:hAnsi="Times New Roman" w:eastAsia="Times New Roman" w:cs="Times New Roman"/>
          <w:sz w:val="28"/>
          <w:szCs w:val="28"/>
          <w:u w:val=""/>
        </w:rPr>
        <w:t xml:space="preserve">Степень патентно-лицензионной защищенности продукта, наличие зарегистрированной торговой марки.</w:t>
      </w:r>
    </w:p>
    <w:p>
      <w:pPr>
        <w:jc w:val="both"/>
        <w:ind/>
        <w:spacing w:before="0" w:after="0" w:line="288" w:lineRule="auto"/>
      </w:pPr>
      <w:r>
        <w:rPr>
          <w:rFonts w:ascii="Times New Roman" w:hAnsi="Times New Roman" w:eastAsia="Times New Roman" w:cs="Times New Roman"/>
          <w:sz w:val="28"/>
          <w:szCs w:val="28"/>
          <w:u w:val=""/>
        </w:rPr>
        <w:t xml:space="preserve">Возможности дальнейшего развития продукта.</w:t>
      </w:r>
    </w:p>
    <w:p>
      <w:pPr>
        <w:jc w:val="both"/>
        <w:ind w:left="112"/>
        <w:spacing w:before="0" w:after="0" w:line="288" w:lineRule="auto"/>
        <w:numPr>
          <w:ilvl w:val="1"/>
          <w:numId w:val="38"/>
        </w:numPr>
        <w:rPr>
          <w:sz w:val="28"/>
          <w:szCs w:val="28"/>
          <w:u w:val=""/>
        </w:rPr>
      </w:pPr>
      <w:r>
        <w:rPr>
          <w:rFonts w:ascii="Times New Roman" w:hAnsi="Times New Roman" w:eastAsia="Times New Roman" w:cs="Times New Roman"/>
          <w:sz w:val="28"/>
          <w:szCs w:val="28"/>
          <w:b/>
          <w:u w:val=""/>
        </w:rPr>
        <w:t xml:space="preserve">Технология производства продукта (оказания услуги)</w:t>
      </w:r>
    </w:p>
    <w:p>
      <w:pPr>
        <w:jc w:val="both"/>
        <w:ind/>
        <w:spacing w:before="0" w:after="0" w:line="288" w:lineRule="auto"/>
      </w:pPr>
      <w:r>
        <w:rPr>
          <w:rFonts w:ascii="Times New Roman" w:hAnsi="Times New Roman" w:eastAsia="Times New Roman" w:cs="Times New Roman"/>
          <w:sz w:val="28"/>
          <w:szCs w:val="28"/>
          <w:u w:val=""/>
        </w:rPr>
        <w:t xml:space="preserve">Технологический уровень в отрасли.</w:t>
      </w:r>
    </w:p>
    <w:p>
      <w:pPr>
        <w:jc w:val="both"/>
        <w:ind/>
        <w:spacing w:before="0" w:after="0" w:line="288" w:lineRule="auto"/>
      </w:pPr>
      <w:r>
        <w:rPr>
          <w:rFonts w:ascii="Times New Roman" w:hAnsi="Times New Roman" w:eastAsia="Times New Roman" w:cs="Times New Roman"/>
          <w:sz w:val="28"/>
          <w:szCs w:val="28"/>
          <w:u w:val=""/>
        </w:rPr>
        <w:t xml:space="preserve">Тенденции изменения и развития технологии (для проектов сельскохозяйственного производства: технологии обработки земли, семян или посадочного материала, прогрессивный севооборот; достижения племенного дела, условия содержания птицы или животных, технологии и рационы кормления </w:t>
      </w:r>
      <w:r>
        <w:br/>
      </w:r>
      <w:r>
        <w:rPr>
          <w:rFonts w:ascii="Times New Roman" w:hAnsi="Times New Roman" w:eastAsia="Times New Roman" w:cs="Times New Roman"/>
          <w:sz w:val="28"/>
          <w:szCs w:val="28"/>
          <w:u w:val=""/>
        </w:rPr>
        <w:t xml:space="preserve">и т.п.).</w:t>
      </w:r>
    </w:p>
    <w:p>
      <w:pPr>
        <w:jc w:val="both"/>
        <w:ind/>
        <w:spacing w:before="0" w:after="0" w:line="288" w:lineRule="auto"/>
      </w:pPr>
      <w:r>
        <w:rPr>
          <w:rFonts w:ascii="Times New Roman" w:hAnsi="Times New Roman" w:eastAsia="Times New Roman" w:cs="Times New Roman"/>
          <w:sz w:val="28"/>
          <w:szCs w:val="28"/>
          <w:u w:val=""/>
        </w:rPr>
        <w:t xml:space="preserve">Описание выбранной технологии производства (оказания услуг).</w:t>
      </w:r>
    </w:p>
    <w:p>
      <w:pPr>
        <w:jc w:val="both"/>
        <w:ind/>
        <w:spacing w:before="0" w:after="0" w:line="288" w:lineRule="auto"/>
      </w:pPr>
      <w:r>
        <w:rPr>
          <w:rFonts w:ascii="Times New Roman" w:hAnsi="Times New Roman" w:eastAsia="Times New Roman" w:cs="Times New Roman"/>
          <w:sz w:val="28"/>
          <w:szCs w:val="28"/>
          <w:u w:val=""/>
        </w:rPr>
        <w:t xml:space="preserve">Основные технологические решения и процессы. Длительность технологического цикла. Схема материальных потоков. Утилизация отходов.</w:t>
      </w:r>
    </w:p>
    <w:p>
      <w:pPr>
        <w:jc w:val="both"/>
        <w:ind/>
        <w:spacing w:before="0" w:after="0" w:line="288" w:lineRule="auto"/>
      </w:pPr>
      <w:r>
        <w:rPr>
          <w:rFonts w:ascii="Times New Roman" w:hAnsi="Times New Roman" w:eastAsia="Times New Roman" w:cs="Times New Roman"/>
          <w:sz w:val="28"/>
          <w:szCs w:val="28"/>
          <w:u w:val=""/>
        </w:rPr>
        <w:t xml:space="preserve">Производственная мощность.</w:t>
      </w:r>
    </w:p>
    <w:p>
      <w:pPr>
        <w:jc w:val="both"/>
        <w:ind/>
        <w:spacing w:before="0" w:after="0" w:line="288" w:lineRule="auto"/>
      </w:pPr>
      <w:r>
        <w:rPr>
          <w:rFonts w:ascii="Times New Roman" w:hAnsi="Times New Roman" w:eastAsia="Times New Roman" w:cs="Times New Roman"/>
          <w:sz w:val="28"/>
          <w:szCs w:val="28"/>
          <w:u w:val=""/>
        </w:rPr>
        <w:t xml:space="preserve">Годовая проектная мощность предприятия (для проектов сельскохозяйственного производства – урожайность с учетом климатических условий, состава почв, технологии обработки, севооборота, качества семян </w:t>
      </w:r>
      <w:r>
        <w:br/>
      </w:r>
      <w:r>
        <w:rPr>
          <w:rFonts w:ascii="Times New Roman" w:hAnsi="Times New Roman" w:eastAsia="Times New Roman" w:cs="Times New Roman"/>
          <w:sz w:val="28"/>
          <w:szCs w:val="28"/>
          <w:u w:val=""/>
        </w:rPr>
        <w:t xml:space="preserve">или посадочного материала, наличия минеральных и органических удобрений, средств защиты растений и животных, кормов и т.п.).</w:t>
      </w:r>
    </w:p>
    <w:p>
      <w:pPr>
        <w:jc w:val="both"/>
        <w:ind w:left="112"/>
        <w:spacing w:before="0" w:after="0" w:line="288" w:lineRule="auto"/>
        <w:numPr>
          <w:ilvl w:val="1"/>
          <w:numId w:val="40"/>
        </w:numPr>
        <w:rPr>
          <w:sz w:val="28"/>
          <w:szCs w:val="28"/>
          <w:u w:val=""/>
        </w:rPr>
      </w:pPr>
      <w:r>
        <w:rPr>
          <w:rFonts w:ascii="Times New Roman" w:hAnsi="Times New Roman" w:eastAsia="Times New Roman" w:cs="Times New Roman"/>
          <w:sz w:val="28"/>
          <w:szCs w:val="28"/>
          <w:b/>
          <w:u w:val=""/>
        </w:rPr>
        <w:t xml:space="preserve">Характеристики закупаемого оборудования (техники)</w:t>
      </w:r>
    </w:p>
    <w:p>
      <w:pPr>
        <w:jc w:val="both"/>
        <w:ind/>
        <w:spacing w:before="0" w:after="0" w:line="288" w:lineRule="auto"/>
      </w:pPr>
      <w:r>
        <w:rPr>
          <w:rFonts w:ascii="Times New Roman" w:hAnsi="Times New Roman" w:eastAsia="Times New Roman" w:cs="Times New Roman"/>
          <w:sz w:val="28"/>
          <w:szCs w:val="28"/>
          <w:u w:val=""/>
        </w:rPr>
        <w:t xml:space="preserve">Поставщики оборудования (техники).</w:t>
      </w:r>
    </w:p>
    <w:p>
      <w:pPr>
        <w:jc w:val="both"/>
        <w:ind/>
        <w:spacing w:before="0" w:after="0" w:line="288" w:lineRule="auto"/>
      </w:pPr>
      <w:r>
        <w:rPr>
          <w:rFonts w:ascii="Times New Roman" w:hAnsi="Times New Roman" w:eastAsia="Times New Roman" w:cs="Times New Roman"/>
          <w:sz w:val="28"/>
          <w:szCs w:val="28"/>
          <w:u w:val=""/>
        </w:rPr>
        <w:t xml:space="preserve">Сравнение технических параметров оборудования (техники). Анализ коммерческих предложений по критерию цена/качество. Совместимость </w:t>
      </w:r>
      <w:r>
        <w:br/>
      </w:r>
      <w:r>
        <w:rPr>
          <w:rFonts w:ascii="Times New Roman" w:hAnsi="Times New Roman" w:eastAsia="Times New Roman" w:cs="Times New Roman"/>
          <w:sz w:val="28"/>
          <w:szCs w:val="28"/>
          <w:u w:val=""/>
        </w:rPr>
        <w:t xml:space="preserve">с имеющимся оборудованием (техникой).</w:t>
      </w:r>
    </w:p>
    <w:p>
      <w:pPr>
        <w:jc w:val="both"/>
        <w:ind/>
        <w:spacing w:before="0" w:after="0" w:line="288" w:lineRule="auto"/>
      </w:pPr>
      <w:r>
        <w:rPr>
          <w:rFonts w:ascii="Times New Roman" w:hAnsi="Times New Roman" w:eastAsia="Times New Roman" w:cs="Times New Roman"/>
          <w:sz w:val="28"/>
          <w:szCs w:val="28"/>
          <w:u w:val=""/>
        </w:rPr>
        <w:t xml:space="preserve">Требования к персоналу.</w:t>
      </w:r>
    </w:p>
    <w:p>
      <w:pPr>
        <w:jc w:val="both"/>
        <w:ind/>
        <w:spacing w:before="0" w:after="0" w:line="288" w:lineRule="auto"/>
      </w:pPr>
      <w:r>
        <w:rPr>
          <w:rFonts w:ascii="Times New Roman" w:hAnsi="Times New Roman" w:eastAsia="Times New Roman" w:cs="Times New Roman"/>
          <w:sz w:val="28"/>
          <w:szCs w:val="28"/>
          <w:u w:val=""/>
        </w:rPr>
        <w:t xml:space="preserve">Требования к производственным площадям.</w:t>
      </w:r>
    </w:p>
    <w:p>
      <w:pPr>
        <w:jc w:val="both"/>
        <w:ind/>
        <w:spacing w:before="0" w:after="0" w:line="288" w:lineRule="auto"/>
      </w:pPr>
      <w:r>
        <w:rPr>
          <w:rFonts w:ascii="Times New Roman" w:hAnsi="Times New Roman" w:eastAsia="Times New Roman" w:cs="Times New Roman"/>
          <w:sz w:val="28"/>
          <w:szCs w:val="28"/>
          <w:u w:val=""/>
        </w:rPr>
        <w:t xml:space="preserve">Требования к энерго-, тепло- и водоснабжению, канализации. Требования к сырью, комплектующим и материалам.</w:t>
      </w:r>
    </w:p>
    <w:p>
      <w:pPr>
        <w:jc w:val="both"/>
        <w:ind/>
        <w:spacing w:before="0" w:after="0" w:line="288" w:lineRule="auto"/>
      </w:pPr>
      <w:r>
        <w:rPr>
          <w:rFonts w:ascii="Times New Roman" w:hAnsi="Times New Roman" w:eastAsia="Times New Roman" w:cs="Times New Roman"/>
          <w:sz w:val="28"/>
          <w:szCs w:val="28"/>
          <w:u w:val=""/>
        </w:rPr>
        <w:t xml:space="preserve">Организация ремонта. Безопасность производства.</w:t>
      </w:r>
    </w:p>
    <w:p>
      <w:pPr>
        <w:jc w:val="both"/>
        <w:ind/>
        <w:spacing w:before="0" w:after="0" w:line="288" w:lineRule="auto"/>
      </w:pPr>
      <w:r>
        <w:rPr>
          <w:rFonts w:ascii="Times New Roman" w:hAnsi="Times New Roman" w:eastAsia="Times New Roman" w:cs="Times New Roman"/>
          <w:sz w:val="28"/>
          <w:szCs w:val="28"/>
          <w:u w:val=""/>
        </w:rPr>
        <w:t xml:space="preserve">Парафированные или подписанные договора (контракты) на закупаемое оборудование (технику) – привести в Приложениях к бизнесу – плану.</w:t>
      </w:r>
    </w:p>
    <w:p>
      <w:pPr>
        <w:jc w:val="both"/>
        <w:ind w:left="112"/>
        <w:spacing w:before="0" w:after="0" w:line="288" w:lineRule="auto"/>
        <w:numPr>
          <w:ilvl w:val="1"/>
          <w:numId w:val="42"/>
        </w:numPr>
        <w:rPr>
          <w:sz w:val="28"/>
          <w:szCs w:val="28"/>
          <w:u w:val=""/>
        </w:rPr>
      </w:pPr>
      <w:r>
        <w:rPr>
          <w:rFonts w:ascii="Times New Roman" w:hAnsi="Times New Roman" w:eastAsia="Times New Roman" w:cs="Times New Roman"/>
          <w:sz w:val="28"/>
          <w:szCs w:val="28"/>
          <w:b/>
          <w:u w:val=""/>
        </w:rPr>
        <w:t xml:space="preserve">Экологические вопросы производства</w:t>
      </w:r>
    </w:p>
    <w:p>
      <w:pPr>
        <w:jc w:val="both"/>
        <w:ind/>
        <w:spacing w:before="0" w:after="0" w:line="288" w:lineRule="auto"/>
      </w:pPr>
      <w:r>
        <w:rPr>
          <w:rFonts w:ascii="Times New Roman" w:hAnsi="Times New Roman" w:eastAsia="Times New Roman" w:cs="Times New Roman"/>
          <w:sz w:val="28"/>
          <w:szCs w:val="28"/>
          <w:u w:val=""/>
        </w:rPr>
        <w:t xml:space="preserve">Влияние проекта на окружающую среду, в том числе:</w:t>
      </w:r>
    </w:p>
    <w:p>
      <w:pPr>
        <w:jc w:val="both"/>
        <w:ind w:left="192"/>
        <w:spacing w:before="0" w:after="0" w:line="288" w:lineRule="auto"/>
        <w:numPr>
          <w:ilvl w:val="0"/>
          <w:numId w:val="43"/>
        </w:numPr>
        <w:rPr>
          <w:sz w:val="28"/>
          <w:szCs w:val="28"/>
          <w:u w:val=""/>
        </w:rPr>
      </w:pPr>
      <w:r>
        <w:rPr>
          <w:rFonts w:ascii="Times New Roman" w:hAnsi="Times New Roman" w:eastAsia="Times New Roman" w:cs="Times New Roman"/>
          <w:sz w:val="28"/>
          <w:szCs w:val="28"/>
          <w:u w:val=""/>
        </w:rPr>
        <w:t xml:space="preserve">факторы воздействия на окружающую среду (по видам и объектам воздействия); </w:t>
      </w:r>
    </w:p>
    <w:p>
      <w:pPr>
        <w:jc w:val="both"/>
        <w:ind w:left="192"/>
        <w:spacing w:before="0" w:after="0" w:line="288" w:lineRule="auto"/>
        <w:numPr>
          <w:ilvl w:val="0"/>
          <w:numId w:val="43"/>
        </w:numPr>
        <w:rPr>
          <w:sz w:val="28"/>
          <w:szCs w:val="28"/>
          <w:u w:val=""/>
        </w:rPr>
      </w:pPr>
      <w:r>
        <w:rPr>
          <w:rFonts w:ascii="Times New Roman" w:hAnsi="Times New Roman" w:eastAsia="Times New Roman" w:cs="Times New Roman"/>
          <w:sz w:val="28"/>
          <w:szCs w:val="28"/>
          <w:u w:val=""/>
        </w:rPr>
        <w:t xml:space="preserve">затраты на обеспечение экологической безопасности проекта.</w:t>
      </w:r>
    </w:p>
    <w:p>
      <w:pPr>
        <w:jc w:val="both"/>
        <w:ind/>
        <w:spacing w:before="0" w:after="0" w:line="288" w:lineRule="auto"/>
      </w:pPr>
      <w:r>
        <w:rPr>
          <w:rFonts w:ascii="Times New Roman" w:hAnsi="Times New Roman" w:eastAsia="Times New Roman" w:cs="Times New Roman"/>
          <w:sz w:val="28"/>
          <w:szCs w:val="28"/>
          <w:u w:val=""/>
        </w:rPr>
        <w:t xml:space="preserve">Подверженность проекта негативным воздействиям окружающей среды. Охарактеризуйте климатические условия, их влияние на проект (для проектов сельскохозяйственного производства обязательно).</w:t>
      </w:r>
    </w:p>
    <w:p>
      <w:pPr>
        <w:jc w:val="both"/>
        <w:ind/>
        <w:spacing w:before="0" w:after="0" w:line="288" w:lineRule="auto"/>
      </w:pPr>
      <w:r>
        <w:rPr>
          <w:rFonts w:ascii="Times New Roman" w:hAnsi="Times New Roman" w:eastAsia="Times New Roman" w:cs="Times New Roman"/>
          <w:sz w:val="28"/>
          <w:szCs w:val="28"/>
          <w:u w:val=""/>
        </w:rPr>
        <w:t xml:space="preserve">Наличие соответствующей экологической экспертизы проекта (Федеральный закон от 15.04.1998 № 65-ФЗ «Об экологической экспертизе»).</w:t>
      </w:r>
    </w:p>
    <w:p>
      <w:pPr>
        <w:jc w:val="left"/>
        <w:ind/>
        <w:spacing w:before="0" w:after="0" w:line="432" w:lineRule="auto"/>
      </w:pPr>
      <w:r>
        <w:rPr>
          <w:sz w:val="28"/>
          <w:szCs w:val="28"/>
          <w:u w:val=""/>
        </w:rPr>
        <w:t xml:space="preserve"> </w:t>
      </w:r>
    </w:p>
    <w:p>
      <w:pPr>
        <w:jc w:val="center"/>
        <w:ind w:left="192"/>
        <w:spacing w:before="0" w:after="0" w:line="288" w:lineRule="auto"/>
        <w:numPr>
          <w:ilvl w:val="0"/>
          <w:numId w:val="44"/>
        </w:numPr>
        <w:rPr>
          <w:sz w:val="28"/>
          <w:szCs w:val="28"/>
          <w:u w:val=""/>
        </w:rPr>
      </w:pPr>
      <w:r>
        <w:rPr>
          <w:rFonts w:ascii="Times New Roman" w:hAnsi="Times New Roman" w:eastAsia="Times New Roman" w:cs="Times New Roman"/>
          <w:sz w:val="28"/>
          <w:szCs w:val="28"/>
          <w:b/>
          <w:u w:val=""/>
        </w:rPr>
        <w:t xml:space="preserve">Анализ рынков сбыта продукции и закупок сырья</w:t>
      </w:r>
      <w:hyperlink w:anchor="note-1" w:history="1">
        <w:r>
          <w:rPr>
            <w:color w:val="0563C1"/>
            <w:sz w:val="28"/>
            <w:szCs w:val="28"/>
            <w:u w:val="single"/>
            <w:vertAlign w:val="superscript"/>
          </w:rPr>
          <w:t xml:space="preserve">1</w:t>
        </w:r>
      </w:hyperlink>
    </w:p>
    <w:p>
      <w:pPr>
        <w:jc w:val="left"/>
        <w:ind/>
        <w:spacing w:before="0" w:after="0" w:line="432" w:lineRule="auto"/>
      </w:pPr>
      <w:r>
        <w:rPr>
          <w:sz w:val="28"/>
          <w:szCs w:val="28"/>
          <w:u w:val=""/>
        </w:rPr>
        <w:t xml:space="preserve"> </w:t>
      </w:r>
    </w:p>
    <w:p>
      <w:pPr>
        <w:jc w:val="both"/>
        <w:ind w:left="192"/>
        <w:spacing w:before="0" w:after="0" w:line="288" w:lineRule="auto"/>
        <w:numPr>
          <w:ilvl w:val="1"/>
          <w:numId w:val="46"/>
        </w:numPr>
        <w:rPr>
          <w:sz w:val="28"/>
          <w:szCs w:val="28"/>
          <w:u w:val=""/>
        </w:rPr>
      </w:pPr>
      <w:r>
        <w:rPr>
          <w:rFonts w:ascii="Times New Roman" w:hAnsi="Times New Roman" w:eastAsia="Times New Roman" w:cs="Times New Roman"/>
          <w:sz w:val="28"/>
          <w:szCs w:val="28"/>
          <w:b/>
          <w:u w:val=""/>
        </w:rPr>
        <w:t xml:space="preserve">Рынок сырья, материалов и комплектующих</w:t>
      </w:r>
    </w:p>
    <w:p>
      <w:pPr>
        <w:jc w:val="both"/>
        <w:ind/>
        <w:spacing w:before="0" w:after="0" w:line="288" w:lineRule="auto"/>
      </w:pPr>
      <w:r>
        <w:rPr>
          <w:rFonts w:ascii="Times New Roman" w:hAnsi="Times New Roman" w:eastAsia="Times New Roman" w:cs="Times New Roman"/>
          <w:sz w:val="28"/>
          <w:szCs w:val="28"/>
          <w:u w:val=""/>
        </w:rPr>
        <w:t xml:space="preserve">Перечень необходимого сырья, комплектующих и материалов, </w:t>
      </w:r>
      <w:r>
        <w:br/>
      </w:r>
      <w:r>
        <w:rPr>
          <w:rFonts w:ascii="Times New Roman" w:hAnsi="Times New Roman" w:eastAsia="Times New Roman" w:cs="Times New Roman"/>
          <w:sz w:val="28"/>
          <w:szCs w:val="28"/>
          <w:u w:val=""/>
        </w:rPr>
        <w:t xml:space="preserve">в том числе импортных.</w:t>
      </w:r>
    </w:p>
    <w:p>
      <w:pPr>
        <w:jc w:val="both"/>
        <w:ind/>
        <w:spacing w:before="0" w:after="0" w:line="288" w:lineRule="auto"/>
      </w:pPr>
      <w:r>
        <w:rPr>
          <w:rFonts w:ascii="Times New Roman" w:hAnsi="Times New Roman" w:eastAsia="Times New Roman" w:cs="Times New Roman"/>
          <w:sz w:val="28"/>
          <w:szCs w:val="28"/>
          <w:u w:val=""/>
        </w:rPr>
        <w:t xml:space="preserve">Требуемые объемы и качество, доступность, цены (в рублях </w:t>
      </w:r>
      <w:r>
        <w:br/>
      </w:r>
      <w:r>
        <w:rPr>
          <w:rFonts w:ascii="Times New Roman" w:hAnsi="Times New Roman" w:eastAsia="Times New Roman" w:cs="Times New Roman"/>
          <w:sz w:val="28"/>
          <w:szCs w:val="28"/>
          <w:u w:val=""/>
        </w:rPr>
        <w:t xml:space="preserve">или соответствующей валюте), условия приобретения, возможность получения специальных скидок или льготных условий поставки (с отсрочкой платежа, либо его доли).</w:t>
      </w:r>
    </w:p>
    <w:p>
      <w:pPr>
        <w:jc w:val="both"/>
        <w:ind/>
        <w:spacing w:before="0" w:after="0" w:line="288" w:lineRule="auto"/>
      </w:pPr>
      <w:r>
        <w:rPr>
          <w:rFonts w:ascii="Times New Roman" w:hAnsi="Times New Roman" w:eastAsia="Times New Roman" w:cs="Times New Roman"/>
          <w:sz w:val="28"/>
          <w:szCs w:val="28"/>
          <w:u w:val=""/>
        </w:rPr>
        <w:t xml:space="preserve">Влияние конкурентов на условия закупок сырья, материалов </w:t>
      </w:r>
      <w:r>
        <w:br/>
      </w:r>
      <w:r>
        <w:rPr>
          <w:rFonts w:ascii="Times New Roman" w:hAnsi="Times New Roman" w:eastAsia="Times New Roman" w:cs="Times New Roman"/>
          <w:sz w:val="28"/>
          <w:szCs w:val="28"/>
          <w:u w:val=""/>
        </w:rPr>
        <w:t xml:space="preserve">и комплектующих. Основные поставщики. Их надежность. Наличие альтернативных поставщиков.</w:t>
      </w:r>
    </w:p>
    <w:p>
      <w:pPr>
        <w:jc w:val="both"/>
        <w:ind/>
        <w:spacing w:before="0" w:after="0" w:line="288" w:lineRule="auto"/>
      </w:pPr>
      <w:r>
        <w:rPr>
          <w:rFonts w:ascii="Times New Roman" w:hAnsi="Times New Roman" w:eastAsia="Times New Roman" w:cs="Times New Roman"/>
          <w:sz w:val="28"/>
          <w:szCs w:val="28"/>
          <w:u w:val=""/>
        </w:rPr>
        <w:t xml:space="preserve">Наличие договоров на закупку сырья, материалов, комплектующих – привести в Приложениях к бизнес-плану.</w:t>
      </w:r>
    </w:p>
    <w:p>
      <w:pPr>
        <w:jc w:val="both"/>
        <w:ind w:left="192"/>
        <w:spacing w:before="0" w:after="0" w:line="288" w:lineRule="auto"/>
        <w:numPr>
          <w:ilvl w:val="1"/>
          <w:numId w:val="48"/>
        </w:numPr>
        <w:rPr>
          <w:sz w:val="28"/>
          <w:szCs w:val="28"/>
          <w:u w:val=""/>
        </w:rPr>
      </w:pPr>
      <w:r>
        <w:rPr>
          <w:rFonts w:ascii="Times New Roman" w:hAnsi="Times New Roman" w:eastAsia="Times New Roman" w:cs="Times New Roman"/>
          <w:sz w:val="28"/>
          <w:szCs w:val="28"/>
          <w:b/>
          <w:u w:val=""/>
        </w:rPr>
        <w:t xml:space="preserve">Конкуренция на рынке сбыта</w:t>
      </w:r>
    </w:p>
    <w:p>
      <w:pPr>
        <w:jc w:val="both"/>
        <w:ind/>
        <w:spacing w:before="0" w:after="0" w:line="288" w:lineRule="auto"/>
      </w:pPr>
      <w:r>
        <w:rPr>
          <w:rFonts w:ascii="Times New Roman" w:hAnsi="Times New Roman" w:eastAsia="Times New Roman" w:cs="Times New Roman"/>
          <w:sz w:val="28"/>
          <w:szCs w:val="28"/>
          <w:u w:val=""/>
        </w:rPr>
        <w:t xml:space="preserve">Перечень предприятий – основных конкурентов. Сильные и слабые стороны основных конкурентов. Удельный вес конкурентов в обороте рынка.</w:t>
      </w:r>
    </w:p>
    <w:p>
      <w:pPr>
        <w:jc w:val="both"/>
        <w:ind/>
        <w:spacing w:before="0" w:after="0" w:line="288" w:lineRule="auto"/>
      </w:pPr>
      <w:r>
        <w:rPr>
          <w:rFonts w:ascii="Times New Roman" w:hAnsi="Times New Roman" w:eastAsia="Times New Roman" w:cs="Times New Roman"/>
          <w:sz w:val="28"/>
          <w:szCs w:val="28"/>
          <w:u w:val=""/>
        </w:rPr>
        <w:t xml:space="preserve">Технологический уровень предприятий – конкурентов.</w:t>
      </w:r>
    </w:p>
    <w:p>
      <w:pPr>
        <w:jc w:val="both"/>
        <w:ind/>
        <w:spacing w:before="0" w:after="0" w:line="288" w:lineRule="auto"/>
      </w:pPr>
      <w:r>
        <w:rPr>
          <w:rFonts w:ascii="Times New Roman" w:hAnsi="Times New Roman" w:eastAsia="Times New Roman" w:cs="Times New Roman"/>
          <w:sz w:val="28"/>
          <w:szCs w:val="28"/>
          <w:u w:val=""/>
        </w:rPr>
        <w:t xml:space="preserve">Цены конкурентной продукции и используемые конкурентами способы стимулирования сбыта. Реакция конкурентов на появление на рынке продукта, производимого в рамках данного проекта.</w:t>
      </w:r>
    </w:p>
    <w:p>
      <w:pPr>
        <w:jc w:val="both"/>
        <w:ind w:left="192"/>
        <w:spacing w:before="0" w:after="0" w:line="288" w:lineRule="auto"/>
        <w:numPr>
          <w:ilvl w:val="1"/>
          <w:numId w:val="50"/>
        </w:numPr>
        <w:rPr>
          <w:sz w:val="28"/>
          <w:szCs w:val="28"/>
          <w:u w:val=""/>
        </w:rPr>
      </w:pPr>
      <w:r>
        <w:rPr>
          <w:rFonts w:ascii="Times New Roman" w:hAnsi="Times New Roman" w:eastAsia="Times New Roman" w:cs="Times New Roman"/>
          <w:sz w:val="28"/>
          <w:szCs w:val="28"/>
          <w:b/>
          <w:u w:val=""/>
        </w:rPr>
        <w:t xml:space="preserve">Потенциальная емкость рынка сбыта</w:t>
      </w:r>
    </w:p>
    <w:p>
      <w:pPr>
        <w:jc w:val="both"/>
        <w:ind/>
        <w:spacing w:before="0" w:after="0" w:line="288" w:lineRule="auto"/>
      </w:pPr>
      <w:r>
        <w:rPr>
          <w:rFonts w:ascii="Times New Roman" w:hAnsi="Times New Roman" w:eastAsia="Times New Roman" w:cs="Times New Roman"/>
          <w:sz w:val="28"/>
          <w:szCs w:val="28"/>
          <w:u w:val=""/>
        </w:rPr>
        <w:t xml:space="preserve">Размер сегмента рынка, на котором работает или предполагает работать предприятие (общий годовой объем продаж в натуральном и стоимостном выражении);</w:t>
      </w:r>
    </w:p>
    <w:p>
      <w:pPr>
        <w:jc w:val="both"/>
        <w:ind/>
        <w:spacing w:before="0" w:after="0" w:line="288" w:lineRule="auto"/>
      </w:pPr>
      <w:r>
        <w:rPr>
          <w:rFonts w:ascii="Times New Roman" w:hAnsi="Times New Roman" w:eastAsia="Times New Roman" w:cs="Times New Roman"/>
          <w:sz w:val="28"/>
          <w:szCs w:val="28"/>
          <w:u w:val=""/>
        </w:rPr>
        <w:t xml:space="preserve">Характеристика групп потребителей продукта:</w:t>
      </w:r>
    </w:p>
    <w:p>
      <w:pPr>
        <w:jc w:val="both"/>
        <w:ind w:left="192"/>
        <w:spacing w:before="0" w:after="0" w:line="288" w:lineRule="auto"/>
        <w:numPr>
          <w:ilvl w:val="0"/>
          <w:numId w:val="51"/>
        </w:numPr>
        <w:rPr>
          <w:sz w:val="28"/>
          <w:szCs w:val="28"/>
          <w:u w:val=""/>
        </w:rPr>
      </w:pPr>
      <w:r>
        <w:rPr>
          <w:rFonts w:ascii="Times New Roman" w:hAnsi="Times New Roman" w:eastAsia="Times New Roman" w:cs="Times New Roman"/>
          <w:sz w:val="28"/>
          <w:szCs w:val="28"/>
          <w:u w:val=""/>
        </w:rPr>
        <w:t xml:space="preserve">тип потребителя (физические лица, предприятия, единичные потребители);</w:t>
      </w:r>
    </w:p>
    <w:p>
      <w:pPr>
        <w:jc w:val="both"/>
        <w:ind w:left="192"/>
        <w:spacing w:before="0" w:after="0" w:line="288" w:lineRule="auto"/>
        <w:numPr>
          <w:ilvl w:val="0"/>
          <w:numId w:val="51"/>
        </w:numPr>
        <w:rPr>
          <w:sz w:val="28"/>
          <w:szCs w:val="28"/>
          <w:u w:val=""/>
        </w:rPr>
      </w:pPr>
      <w:r>
        <w:rPr>
          <w:rFonts w:ascii="Times New Roman" w:hAnsi="Times New Roman" w:eastAsia="Times New Roman" w:cs="Times New Roman"/>
          <w:sz w:val="28"/>
          <w:szCs w:val="28"/>
          <w:u w:val=""/>
        </w:rPr>
        <w:t xml:space="preserve"> географическое расположение потребителей;</w:t>
      </w:r>
    </w:p>
    <w:p>
      <w:pPr>
        <w:jc w:val="both"/>
        <w:ind w:left="192"/>
        <w:spacing w:before="0" w:after="0" w:line="288" w:lineRule="auto"/>
        <w:numPr>
          <w:ilvl w:val="0"/>
          <w:numId w:val="51"/>
        </w:numPr>
        <w:rPr>
          <w:sz w:val="28"/>
          <w:szCs w:val="28"/>
          <w:u w:val=""/>
        </w:rPr>
      </w:pPr>
      <w:r>
        <w:rPr>
          <w:rFonts w:ascii="Times New Roman" w:hAnsi="Times New Roman" w:eastAsia="Times New Roman" w:cs="Times New Roman"/>
          <w:sz w:val="28"/>
          <w:szCs w:val="28"/>
          <w:u w:val=""/>
        </w:rPr>
        <w:t xml:space="preserve">мнение потребителей о продукте;</w:t>
      </w:r>
    </w:p>
    <w:p>
      <w:pPr>
        <w:jc w:val="both"/>
        <w:ind w:left="192"/>
        <w:spacing w:before="0" w:after="0" w:line="288" w:lineRule="auto"/>
        <w:numPr>
          <w:ilvl w:val="0"/>
          <w:numId w:val="51"/>
        </w:numPr>
        <w:rPr>
          <w:sz w:val="28"/>
          <w:szCs w:val="28"/>
          <w:u w:val=""/>
        </w:rPr>
      </w:pPr>
      <w:r>
        <w:rPr>
          <w:rFonts w:ascii="Times New Roman" w:hAnsi="Times New Roman" w:eastAsia="Times New Roman" w:cs="Times New Roman"/>
          <w:sz w:val="28"/>
          <w:szCs w:val="28"/>
          <w:u w:val=""/>
        </w:rPr>
        <w:t xml:space="preserve">зависимость потребительского спроса от цены.</w:t>
      </w:r>
    </w:p>
    <w:p>
      <w:pPr>
        <w:jc w:val="both"/>
        <w:ind/>
        <w:spacing w:before="0" w:after="0" w:line="288" w:lineRule="auto"/>
      </w:pPr>
      <w:r>
        <w:rPr>
          <w:rFonts w:ascii="Times New Roman" w:hAnsi="Times New Roman" w:eastAsia="Times New Roman" w:cs="Times New Roman"/>
          <w:sz w:val="28"/>
          <w:szCs w:val="28"/>
          <w:u w:val=""/>
        </w:rPr>
        <w:t xml:space="preserve">Характеристика имеющихся основных потребителей. </w:t>
      </w:r>
    </w:p>
    <w:p>
      <w:pPr>
        <w:jc w:val="both"/>
        <w:ind/>
        <w:spacing w:before="0" w:after="0" w:line="288" w:lineRule="auto"/>
      </w:pPr>
      <w:r>
        <w:rPr>
          <w:rFonts w:ascii="Times New Roman" w:hAnsi="Times New Roman" w:eastAsia="Times New Roman" w:cs="Times New Roman"/>
          <w:sz w:val="28"/>
          <w:szCs w:val="28"/>
          <w:u w:val=""/>
        </w:rPr>
        <w:t xml:space="preserve">Характеристика потенциальных потребителей.</w:t>
      </w:r>
    </w:p>
    <w:p>
      <w:pPr>
        <w:jc w:val="both"/>
        <w:ind/>
        <w:spacing w:before="0" w:after="0" w:line="288" w:lineRule="auto"/>
      </w:pPr>
      <w:r>
        <w:rPr>
          <w:rFonts w:ascii="Times New Roman" w:hAnsi="Times New Roman" w:eastAsia="Times New Roman" w:cs="Times New Roman"/>
          <w:sz w:val="28"/>
          <w:szCs w:val="28"/>
          <w:u w:val=""/>
        </w:rPr>
        <w:t xml:space="preserve">Наиболее перспективные потребители (в порядке убывания).</w:t>
      </w:r>
    </w:p>
    <w:p>
      <w:pPr>
        <w:jc w:val="both"/>
        <w:ind/>
        <w:spacing w:before="0" w:after="0" w:line="288" w:lineRule="auto"/>
      </w:pPr>
      <w:r>
        <w:rPr>
          <w:rFonts w:ascii="Times New Roman" w:hAnsi="Times New Roman" w:eastAsia="Times New Roman" w:cs="Times New Roman"/>
          <w:sz w:val="28"/>
          <w:szCs w:val="28"/>
          <w:u w:val=""/>
        </w:rPr>
        <w:t xml:space="preserve">Рыночная доля предприятия (текущая и планируемая на период реализации проекта).</w:t>
      </w:r>
    </w:p>
    <w:p>
      <w:pPr>
        <w:jc w:val="both"/>
        <w:ind/>
        <w:spacing w:before="0" w:after="0" w:line="288" w:lineRule="auto"/>
      </w:pPr>
      <w:r>
        <w:rPr>
          <w:rFonts w:ascii="Times New Roman" w:hAnsi="Times New Roman" w:eastAsia="Times New Roman" w:cs="Times New Roman"/>
          <w:sz w:val="28"/>
          <w:szCs w:val="28"/>
          <w:u w:val=""/>
        </w:rPr>
        <w:t xml:space="preserve"> Наличие договоров на сбыт продукции – привести в приложениях </w:t>
      </w:r>
      <w:r>
        <w:br/>
      </w:r>
      <w:r>
        <w:rPr>
          <w:rFonts w:ascii="Times New Roman" w:hAnsi="Times New Roman" w:eastAsia="Times New Roman" w:cs="Times New Roman"/>
          <w:sz w:val="28"/>
          <w:szCs w:val="28"/>
          <w:u w:val=""/>
        </w:rPr>
        <w:t xml:space="preserve">к бизнес-плану.</w:t>
      </w:r>
    </w:p>
    <w:p>
      <w:pPr>
        <w:jc w:val="left"/>
        <w:ind/>
        <w:spacing w:before="0" w:after="0" w:line="432" w:lineRule="auto"/>
      </w:pPr>
      <w:r>
        <w:rPr>
          <w:sz w:val="28"/>
          <w:szCs w:val="28"/>
          <w:u w:val=""/>
        </w:rPr>
        <w:t xml:space="preserve"> </w:t>
      </w:r>
    </w:p>
    <w:p>
      <w:pPr>
        <w:jc w:val="center"/>
        <w:ind w:left="192"/>
        <w:spacing w:before="0" w:after="0" w:line="288" w:lineRule="auto"/>
        <w:numPr>
          <w:ilvl w:val="0"/>
          <w:numId w:val="52"/>
        </w:numPr>
        <w:rPr>
          <w:sz w:val="28"/>
          <w:szCs w:val="28"/>
          <w:u w:val=""/>
        </w:rPr>
      </w:pPr>
      <w:r>
        <w:rPr>
          <w:rFonts w:ascii="Times New Roman" w:hAnsi="Times New Roman" w:eastAsia="Times New Roman" w:cs="Times New Roman"/>
          <w:sz w:val="28"/>
          <w:szCs w:val="28"/>
          <w:b/>
          <w:u w:val=""/>
        </w:rPr>
        <w:t xml:space="preserve">План продаж, стратегия и маркетинг</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u w:val=""/>
        </w:rPr>
        <w:t xml:space="preserve">В данном разделе должны быть отражены целевая динамика объема продаж (целевой интенсивности эксплуатации) и прогнозной доли рынка, </w:t>
      </w:r>
      <w:r>
        <w:br/>
      </w:r>
      <w:r>
        <w:rPr>
          <w:rFonts w:ascii="Times New Roman" w:hAnsi="Times New Roman" w:eastAsia="Times New Roman" w:cs="Times New Roman"/>
          <w:sz w:val="28"/>
          <w:szCs w:val="28"/>
          <w:u w:val=""/>
        </w:rPr>
        <w:t xml:space="preserve">а также стратегия по их достижению, в том числе стратегия конкурентной борьбы. </w:t>
      </w:r>
    </w:p>
    <w:p>
      <w:pPr>
        <w:jc w:val="both"/>
        <w:ind/>
        <w:spacing w:before="0" w:after="0" w:line="288" w:lineRule="auto"/>
      </w:pPr>
      <w:r>
        <w:rPr>
          <w:rFonts w:ascii="Times New Roman" w:hAnsi="Times New Roman" w:eastAsia="Times New Roman" w:cs="Times New Roman"/>
          <w:sz w:val="28"/>
          <w:szCs w:val="28"/>
          <w:u w:val=""/>
        </w:rPr>
        <w:t xml:space="preserve">В разделе необходимо: </w:t>
      </w:r>
    </w:p>
    <w:p>
      <w:pPr>
        <w:jc w:val="both"/>
        <w:ind w:left="192"/>
        <w:spacing w:before="0" w:after="0" w:line="288" w:lineRule="auto"/>
        <w:numPr>
          <w:ilvl w:val="0"/>
          <w:numId w:val="53"/>
        </w:numPr>
        <w:rPr>
          <w:sz w:val="28"/>
          <w:szCs w:val="28"/>
          <w:u w:val=""/>
        </w:rPr>
      </w:pPr>
      <w:r>
        <w:rPr>
          <w:rFonts w:ascii="Times New Roman" w:hAnsi="Times New Roman" w:eastAsia="Times New Roman" w:cs="Times New Roman"/>
          <w:sz w:val="28"/>
          <w:szCs w:val="28"/>
          <w:u w:val=""/>
        </w:rPr>
        <w:t xml:space="preserve">привести прогнозный объем продаж (интенсивности эксплуатации) </w:t>
      </w:r>
      <w:r>
        <w:br/>
      </w:r>
      <w:r>
        <w:rPr>
          <w:rFonts w:ascii="Times New Roman" w:hAnsi="Times New Roman" w:eastAsia="Times New Roman" w:cs="Times New Roman"/>
          <w:sz w:val="28"/>
          <w:szCs w:val="28"/>
          <w:u w:val=""/>
        </w:rPr>
        <w:t xml:space="preserve">в натуральных единицах, прогнозные отпускные цены (тарифы) и/или прогноз выручки от реализации в денежном выражении по проекту – с учетом анализа, произведенного в разделе анализа рынка; </w:t>
      </w:r>
    </w:p>
    <w:p>
      <w:pPr>
        <w:jc w:val="both"/>
        <w:ind w:left="192"/>
        <w:spacing w:before="0" w:after="0" w:line="288" w:lineRule="auto"/>
        <w:numPr>
          <w:ilvl w:val="0"/>
          <w:numId w:val="53"/>
        </w:numPr>
        <w:rPr>
          <w:sz w:val="28"/>
          <w:szCs w:val="28"/>
          <w:u w:val=""/>
        </w:rPr>
      </w:pPr>
      <w:r>
        <w:rPr>
          <w:rFonts w:ascii="Times New Roman" w:hAnsi="Times New Roman" w:eastAsia="Times New Roman" w:cs="Times New Roman"/>
          <w:sz w:val="28"/>
          <w:szCs w:val="28"/>
          <w:u w:val=""/>
        </w:rPr>
        <w:t xml:space="preserve">описать стратегию маркетинга по проекту, к примеру: расширенную концепцию продукта (анализ возможностей дифференцирования продукта </w:t>
      </w:r>
      <w:r>
        <w:br/>
      </w:r>
      <w:r>
        <w:rPr>
          <w:rFonts w:ascii="Times New Roman" w:hAnsi="Times New Roman" w:eastAsia="Times New Roman" w:cs="Times New Roman"/>
          <w:sz w:val="28"/>
          <w:szCs w:val="28"/>
          <w:u w:val=""/>
        </w:rPr>
        <w:t xml:space="preserve">с целью увеличения ценности продукта для потребителя, в том числе путем улучшения дизайна, добавления дополнительных услуг, использования торговой марки и т.п.), стратегию ценообразования, политику дистрибуции (выбор каналов продаж) и стимулирования сбыта (в том числе при отклонении фактических объемов продаж от целевых); </w:t>
      </w:r>
    </w:p>
    <w:p>
      <w:pPr>
        <w:jc w:val="both"/>
        <w:ind w:left="192"/>
        <w:spacing w:before="0" w:after="0" w:line="288" w:lineRule="auto"/>
        <w:numPr>
          <w:ilvl w:val="0"/>
          <w:numId w:val="53"/>
        </w:numPr>
        <w:rPr>
          <w:sz w:val="28"/>
          <w:szCs w:val="28"/>
          <w:u w:val=""/>
        </w:rPr>
      </w:pPr>
      <w:r>
        <w:rPr>
          <w:rFonts w:ascii="Times New Roman" w:hAnsi="Times New Roman" w:eastAsia="Times New Roman" w:cs="Times New Roman"/>
          <w:sz w:val="28"/>
          <w:szCs w:val="28"/>
          <w:u w:val=""/>
        </w:rPr>
        <w:t xml:space="preserve">указать текущую и прогнозную долю компании на рынке (в случае, если предполагается увеличение доли рынка); </w:t>
      </w:r>
    </w:p>
    <w:p>
      <w:pPr>
        <w:jc w:val="both"/>
        <w:ind w:left="192"/>
        <w:spacing w:before="0" w:after="0" w:line="288" w:lineRule="auto"/>
        <w:numPr>
          <w:ilvl w:val="0"/>
          <w:numId w:val="53"/>
        </w:numPr>
        <w:rPr>
          <w:sz w:val="28"/>
          <w:szCs w:val="28"/>
          <w:u w:val=""/>
        </w:rPr>
      </w:pPr>
      <w:r>
        <w:rPr>
          <w:rFonts w:ascii="Times New Roman" w:hAnsi="Times New Roman" w:eastAsia="Times New Roman" w:cs="Times New Roman"/>
          <w:sz w:val="28"/>
          <w:szCs w:val="28"/>
          <w:u w:val=""/>
        </w:rPr>
        <w:t xml:space="preserve">описать стратегию конкурентной борьбы (проникновение на рынок, увеличение или удержания целевой доли рынка). Если возможно дифференцирование продукта требуется привести сравнительный конкурентный анализ продукта, который планируется к выпуску по проекту (преимущества </w:t>
      </w:r>
      <w:r>
        <w:br/>
      </w:r>
      <w:r>
        <w:rPr>
          <w:rFonts w:ascii="Times New Roman" w:hAnsi="Times New Roman" w:eastAsia="Times New Roman" w:cs="Times New Roman"/>
          <w:sz w:val="28"/>
          <w:szCs w:val="28"/>
          <w:u w:val=""/>
        </w:rPr>
        <w:t xml:space="preserve">и недостатки по сравнению с продуктами конкурентов). В случае олигополистической структуры рынка (наличии нескольких крупных игроков), требуется дать сравнительный анализ стратегий конкурентов и учесть их при выработке стратегии маркетинга по проекту. </w:t>
      </w:r>
    </w:p>
    <w:p>
      <w:pPr>
        <w:jc w:val="both"/>
        <w:ind/>
        <w:spacing w:before="0" w:after="0" w:line="288" w:lineRule="auto"/>
      </w:pPr>
      <w:r>
        <w:rPr>
          <w:rFonts w:ascii="Times New Roman" w:hAnsi="Times New Roman" w:eastAsia="Times New Roman" w:cs="Times New Roman"/>
          <w:sz w:val="28"/>
          <w:szCs w:val="28"/>
          <w:u w:val=""/>
        </w:rPr>
        <w:t xml:space="preserve">В случае если проект относится к инновационным необходимо проработать вопрос о юридической защите интеллектуальных прав собственности на продукт (технологию). </w:t>
      </w:r>
    </w:p>
    <w:p>
      <w:pPr>
        <w:jc w:val="both"/>
        <w:ind/>
        <w:spacing w:before="0" w:after="0" w:line="288" w:lineRule="auto"/>
      </w:pPr>
      <w:r>
        <w:rPr>
          <w:rFonts w:ascii="Times New Roman" w:hAnsi="Times New Roman" w:eastAsia="Times New Roman" w:cs="Times New Roman"/>
          <w:sz w:val="28"/>
          <w:szCs w:val="28"/>
          <w:u w:val=""/>
        </w:rPr>
        <w:t xml:space="preserve">Если целью инвестиционного проекта является строительство заранее определенного количества объектов (производственных мощностей), которые будут реализованы заранее определенному заказчику, с которым достигнуто предварительное соглашение (заключен договор) о приобретении объектов (производственных мощностей), стратегию маркетинга и план продаж рекомендуется заменить согласованным предположительным графиком ввода мощностей и передачи (реализации) объектов.</w:t>
      </w:r>
    </w:p>
    <w:p>
      <w:pPr>
        <w:jc w:val="left"/>
        <w:ind/>
        <w:spacing w:before="0" w:after="0" w:line="432" w:lineRule="auto"/>
      </w:pPr>
      <w:r>
        <w:rPr>
          <w:sz w:val="28"/>
          <w:szCs w:val="28"/>
          <w:u w:val=""/>
        </w:rPr>
        <w:t xml:space="preserve"> </w:t>
      </w:r>
    </w:p>
    <w:p>
      <w:pPr>
        <w:jc w:val="center"/>
        <w:ind w:left="192"/>
        <w:spacing w:before="0" w:after="0" w:line="288" w:lineRule="auto"/>
        <w:numPr>
          <w:ilvl w:val="0"/>
          <w:numId w:val="54"/>
        </w:numPr>
        <w:rPr>
          <w:sz w:val="28"/>
          <w:szCs w:val="28"/>
          <w:u w:val=""/>
        </w:rPr>
      </w:pPr>
      <w:r>
        <w:rPr>
          <w:rFonts w:ascii="Times New Roman" w:hAnsi="Times New Roman" w:eastAsia="Times New Roman" w:cs="Times New Roman"/>
          <w:sz w:val="28"/>
          <w:szCs w:val="28"/>
          <w:b/>
          <w:u w:val=""/>
        </w:rPr>
        <w:t xml:space="preserve">Анализ доступности ресурсов</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u w:val=""/>
        </w:rPr>
        <w:t xml:space="preserve">В данном разделе необходимо провести анализ материальных, организационных, человеческих и иных ресурсов, которые требуются </w:t>
      </w:r>
      <w:r>
        <w:br/>
      </w:r>
      <w:r>
        <w:rPr>
          <w:rFonts w:ascii="Times New Roman" w:hAnsi="Times New Roman" w:eastAsia="Times New Roman" w:cs="Times New Roman"/>
          <w:sz w:val="28"/>
          <w:szCs w:val="28"/>
          <w:u w:val=""/>
        </w:rPr>
        <w:t xml:space="preserve">для реализации проекта. </w:t>
      </w:r>
    </w:p>
    <w:p>
      <w:pPr>
        <w:jc w:val="both"/>
        <w:ind/>
        <w:spacing w:before="0" w:after="0" w:line="288" w:lineRule="auto"/>
      </w:pPr>
      <w:r>
        <w:rPr>
          <w:rFonts w:ascii="Times New Roman" w:hAnsi="Times New Roman" w:eastAsia="Times New Roman" w:cs="Times New Roman"/>
          <w:sz w:val="28"/>
          <w:szCs w:val="28"/>
          <w:u w:val=""/>
        </w:rPr>
        <w:t xml:space="preserve">Необходимо отметить, какие ресурсы уже имеются у основных участников проекта и какие ресурсы будет необходимо привлечь дополнительно при реализации проекта (производственная/строительная площадка; инфраструктура (энерго-, тепло-, водоснабжение, транспорт и т.д.); машины и оборудование; сырье, материалы, энергия, комплектующие; услуги и работы подрядчиков; трудовые ресурсы/персонал; управленческий ресурс и т.д.). </w:t>
      </w:r>
    </w:p>
    <w:p>
      <w:pPr>
        <w:jc w:val="both"/>
        <w:ind/>
        <w:spacing w:before="0" w:after="0" w:line="288" w:lineRule="auto"/>
      </w:pPr>
      <w:r>
        <w:rPr>
          <w:rFonts w:ascii="Times New Roman" w:hAnsi="Times New Roman" w:eastAsia="Times New Roman" w:cs="Times New Roman"/>
          <w:sz w:val="28"/>
          <w:szCs w:val="28"/>
          <w:u w:val=""/>
        </w:rPr>
        <w:t xml:space="preserve">Необходимо привести в бизнес-плане: </w:t>
      </w:r>
    </w:p>
    <w:p>
      <w:pPr>
        <w:jc w:val="both"/>
        <w:ind w:left="192"/>
        <w:spacing w:before="0" w:after="0" w:line="288" w:lineRule="auto"/>
        <w:numPr>
          <w:ilvl w:val="0"/>
          <w:numId w:val="55"/>
        </w:numPr>
        <w:rPr>
          <w:sz w:val="28"/>
          <w:szCs w:val="28"/>
          <w:u w:val=""/>
        </w:rPr>
      </w:pPr>
      <w:r>
        <w:rPr>
          <w:rFonts w:ascii="Times New Roman" w:hAnsi="Times New Roman" w:eastAsia="Times New Roman" w:cs="Times New Roman"/>
          <w:sz w:val="28"/>
          <w:szCs w:val="28"/>
          <w:u w:val=""/>
        </w:rPr>
        <w:t xml:space="preserve">анализ производственной/строительной площадки (в случае ее необходимости для реализации проекта), который должен включать: расположение, в том числе близость к рынку сбыта и сырья; достаточность площади; наличие и качество прилегающей инфраструктуры и коммуникаций, </w:t>
      </w:r>
      <w:r>
        <w:br/>
      </w:r>
      <w:r>
        <w:rPr>
          <w:rFonts w:ascii="Times New Roman" w:hAnsi="Times New Roman" w:eastAsia="Times New Roman" w:cs="Times New Roman"/>
          <w:sz w:val="28"/>
          <w:szCs w:val="28"/>
          <w:u w:val=""/>
        </w:rPr>
        <w:t xml:space="preserve">в том числе складских помещений; степень изношенности здания </w:t>
      </w:r>
      <w:r>
        <w:br/>
      </w:r>
      <w:r>
        <w:rPr>
          <w:rFonts w:ascii="Times New Roman" w:hAnsi="Times New Roman" w:eastAsia="Times New Roman" w:cs="Times New Roman"/>
          <w:sz w:val="28"/>
          <w:szCs w:val="28"/>
          <w:u w:val=""/>
        </w:rPr>
        <w:t xml:space="preserve">и коммуникаций; требуемые изменения и улучшения; иные важные характеристики, которые обусловили ее выбор; </w:t>
      </w:r>
    </w:p>
    <w:p>
      <w:pPr>
        <w:jc w:val="both"/>
        <w:ind w:left="192"/>
        <w:spacing w:before="0" w:after="0" w:line="288" w:lineRule="auto"/>
        <w:numPr>
          <w:ilvl w:val="0"/>
          <w:numId w:val="55"/>
        </w:numPr>
        <w:rPr>
          <w:sz w:val="28"/>
          <w:szCs w:val="28"/>
          <w:u w:val=""/>
        </w:rPr>
      </w:pPr>
      <w:r>
        <w:rPr>
          <w:rFonts w:ascii="Times New Roman" w:hAnsi="Times New Roman" w:eastAsia="Times New Roman" w:cs="Times New Roman"/>
          <w:sz w:val="28"/>
          <w:szCs w:val="28"/>
          <w:u w:val=""/>
        </w:rPr>
        <w:t xml:space="preserve">если проект относится к категории создания нового предприятия /производства/объекта с «нуля», информацию о том, как предполагается обеспечить устойчивое материально-техническое снабжение (указать предполагаемых поставщиков и их местоположение); </w:t>
      </w:r>
    </w:p>
    <w:p>
      <w:pPr>
        <w:jc w:val="both"/>
        <w:ind w:left="192"/>
        <w:spacing w:before="0" w:after="0" w:line="288" w:lineRule="auto"/>
        <w:numPr>
          <w:ilvl w:val="0"/>
          <w:numId w:val="55"/>
        </w:numPr>
        <w:rPr>
          <w:sz w:val="28"/>
          <w:szCs w:val="28"/>
          <w:u w:val=""/>
        </w:rPr>
      </w:pPr>
      <w:r>
        <w:rPr>
          <w:rFonts w:ascii="Times New Roman" w:hAnsi="Times New Roman" w:eastAsia="Times New Roman" w:cs="Times New Roman"/>
          <w:sz w:val="28"/>
          <w:szCs w:val="28"/>
          <w:u w:val=""/>
        </w:rPr>
        <w:t xml:space="preserve">анализ управленческих ресурсов проекта (резюме команды основных руководителей и разработчиков должны быть приложены к бизнес-плану), </w:t>
      </w:r>
      <w:r>
        <w:br/>
      </w:r>
      <w:r>
        <w:rPr>
          <w:rFonts w:ascii="Times New Roman" w:hAnsi="Times New Roman" w:eastAsia="Times New Roman" w:cs="Times New Roman"/>
          <w:sz w:val="28"/>
          <w:szCs w:val="28"/>
          <w:u w:val=""/>
        </w:rPr>
        <w:t xml:space="preserve">а также обосновать заинтересованность управленцев и разработчиков </w:t>
      </w:r>
      <w:r>
        <w:br/>
      </w:r>
      <w:r>
        <w:rPr>
          <w:rFonts w:ascii="Times New Roman" w:hAnsi="Times New Roman" w:eastAsia="Times New Roman" w:cs="Times New Roman"/>
          <w:sz w:val="28"/>
          <w:szCs w:val="28"/>
          <w:u w:val=""/>
        </w:rPr>
        <w:t xml:space="preserve">в успешной реализации проекта (к примеру, через передачу части акций/долей Получателя средств в собственность, использование опционных схем и иных схем компенсации (оплаты труда) и т.д.). </w:t>
      </w:r>
    </w:p>
    <w:p>
      <w:pPr>
        <w:jc w:val="both"/>
        <w:ind/>
        <w:spacing w:before="0" w:after="0" w:line="288" w:lineRule="auto"/>
      </w:pPr>
      <w:r>
        <w:rPr>
          <w:rFonts w:ascii="Times New Roman" w:hAnsi="Times New Roman" w:eastAsia="Times New Roman" w:cs="Times New Roman"/>
          <w:sz w:val="28"/>
          <w:szCs w:val="28"/>
          <w:u w:val=""/>
        </w:rPr>
        <w:t xml:space="preserve">Необходимо: </w:t>
      </w:r>
    </w:p>
    <w:p>
      <w:pPr>
        <w:jc w:val="both"/>
        <w:ind w:left="192"/>
        <w:spacing w:before="0" w:after="0" w:line="288" w:lineRule="auto"/>
        <w:numPr>
          <w:ilvl w:val="0"/>
          <w:numId w:val="56"/>
        </w:numPr>
        <w:rPr>
          <w:sz w:val="28"/>
          <w:szCs w:val="28"/>
          <w:u w:val=""/>
        </w:rPr>
      </w:pPr>
      <w:r>
        <w:rPr>
          <w:rFonts w:ascii="Times New Roman" w:hAnsi="Times New Roman" w:eastAsia="Times New Roman" w:cs="Times New Roman"/>
          <w:sz w:val="28"/>
          <w:szCs w:val="28"/>
          <w:u w:val=""/>
        </w:rPr>
        <w:t xml:space="preserve">выделить ключевые ресурсы и провести анализ соответствующих ресурсных рынков, в том числе проанализировать текущие и прогнозные объемы спроса и предложения ресурсов, рыночную структуру, динамику цен; </w:t>
      </w:r>
    </w:p>
    <w:p>
      <w:pPr>
        <w:jc w:val="both"/>
        <w:ind w:left="192"/>
        <w:spacing w:before="0" w:after="0" w:line="288" w:lineRule="auto"/>
        <w:numPr>
          <w:ilvl w:val="0"/>
          <w:numId w:val="56"/>
        </w:numPr>
        <w:rPr>
          <w:sz w:val="28"/>
          <w:szCs w:val="28"/>
          <w:u w:val=""/>
        </w:rPr>
      </w:pPr>
      <w:r>
        <w:rPr>
          <w:rFonts w:ascii="Times New Roman" w:hAnsi="Times New Roman" w:eastAsia="Times New Roman" w:cs="Times New Roman"/>
          <w:sz w:val="28"/>
          <w:szCs w:val="28"/>
          <w:u w:val=""/>
        </w:rPr>
        <w:t xml:space="preserve">если производство является трудоемким или основным продуктом </w:t>
      </w:r>
      <w:r>
        <w:br/>
      </w:r>
      <w:r>
        <w:rPr>
          <w:rFonts w:ascii="Times New Roman" w:hAnsi="Times New Roman" w:eastAsia="Times New Roman" w:cs="Times New Roman"/>
          <w:sz w:val="28"/>
          <w:szCs w:val="28"/>
          <w:u w:val=""/>
        </w:rPr>
        <w:t xml:space="preserve">по проекту являются услуги или работы, можно выделить анализ трудовых ресурсов в отдельный раздел или приложение, в котором описать: </w:t>
      </w:r>
    </w:p>
    <w:p>
      <w:pPr>
        <w:jc w:val="both"/>
        <w:ind w:left="192"/>
        <w:spacing w:before="0" w:after="0" w:line="288" w:lineRule="auto"/>
        <w:numPr>
          <w:ilvl w:val="0"/>
          <w:numId w:val="56"/>
        </w:numPr>
        <w:rPr>
          <w:sz w:val="28"/>
          <w:szCs w:val="28"/>
          <w:u w:val=""/>
        </w:rPr>
      </w:pPr>
      <w:r>
        <w:rPr>
          <w:rFonts w:ascii="Times New Roman" w:hAnsi="Times New Roman" w:eastAsia="Times New Roman" w:cs="Times New Roman"/>
          <w:sz w:val="28"/>
          <w:szCs w:val="28"/>
          <w:u w:val=""/>
        </w:rPr>
        <w:t xml:space="preserve">необходимый для реализации проекта персонал, в том числе количество персонала по категориям, необходимые навыки и квалификацию, предполагаемый уровень заработной платы; </w:t>
      </w:r>
    </w:p>
    <w:p>
      <w:pPr>
        <w:jc w:val="both"/>
        <w:ind w:left="192"/>
        <w:spacing w:before="0" w:after="0" w:line="288" w:lineRule="auto"/>
        <w:numPr>
          <w:ilvl w:val="0"/>
          <w:numId w:val="56"/>
        </w:numPr>
        <w:rPr>
          <w:sz w:val="28"/>
          <w:szCs w:val="28"/>
          <w:u w:val=""/>
        </w:rPr>
      </w:pPr>
      <w:r>
        <w:rPr>
          <w:rFonts w:ascii="Times New Roman" w:hAnsi="Times New Roman" w:eastAsia="Times New Roman" w:cs="Times New Roman"/>
          <w:sz w:val="28"/>
          <w:szCs w:val="28"/>
          <w:u w:val=""/>
        </w:rPr>
        <w:t xml:space="preserve">имеющийся персонал (в случае его наличия), в том числе состав </w:t>
      </w:r>
      <w:r>
        <w:br/>
      </w:r>
      <w:r>
        <w:rPr>
          <w:rFonts w:ascii="Times New Roman" w:hAnsi="Times New Roman" w:eastAsia="Times New Roman" w:cs="Times New Roman"/>
          <w:sz w:val="28"/>
          <w:szCs w:val="28"/>
          <w:u w:val=""/>
        </w:rPr>
        <w:t xml:space="preserve">и квалификацию, потребность в обучении, текучесть кадров, уровень оплаты труда.</w:t>
      </w:r>
    </w:p>
    <w:p>
      <w:pPr>
        <w:jc w:val="left"/>
        <w:ind/>
        <w:spacing w:before="0" w:after="0" w:line="432" w:lineRule="auto"/>
      </w:pPr>
      <w:r>
        <w:rPr>
          <w:sz w:val="28"/>
          <w:szCs w:val="28"/>
          <w:u w:val=""/>
        </w:rPr>
        <w:t xml:space="preserve"> </w:t>
      </w:r>
    </w:p>
    <w:p>
      <w:pPr>
        <w:jc w:val="center"/>
        <w:ind w:left="192"/>
        <w:spacing w:before="0" w:after="0" w:line="288" w:lineRule="auto"/>
        <w:numPr>
          <w:ilvl w:val="0"/>
          <w:numId w:val="57"/>
        </w:numPr>
        <w:rPr>
          <w:sz w:val="28"/>
          <w:szCs w:val="28"/>
          <w:u w:val=""/>
        </w:rPr>
      </w:pPr>
      <w:r>
        <w:rPr>
          <w:rFonts w:ascii="Times New Roman" w:hAnsi="Times New Roman" w:eastAsia="Times New Roman" w:cs="Times New Roman"/>
          <w:sz w:val="28"/>
          <w:szCs w:val="28"/>
          <w:b/>
          <w:u w:val=""/>
        </w:rPr>
        <w:t xml:space="preserve">Воздействие проекта на окружающую среду и устойчивое развитие</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u w:val=""/>
        </w:rPr>
        <w:t xml:space="preserve">В данном разделе указывается следующая информация:</w:t>
      </w:r>
    </w:p>
    <w:p>
      <w:pPr>
        <w:jc w:val="both"/>
        <w:ind w:left="192"/>
        <w:spacing w:before="0" w:after="0" w:line="288" w:lineRule="auto"/>
        <w:numPr>
          <w:ilvl w:val="0"/>
          <w:numId w:val="58"/>
        </w:numPr>
        <w:rPr>
          <w:sz w:val="28"/>
          <w:szCs w:val="28"/>
          <w:u w:val=""/>
        </w:rPr>
      </w:pPr>
      <w:r>
        <w:rPr>
          <w:rFonts w:ascii="Times New Roman" w:hAnsi="Times New Roman" w:eastAsia="Times New Roman" w:cs="Times New Roman"/>
          <w:sz w:val="28"/>
          <w:szCs w:val="28"/>
          <w:u w:val=""/>
        </w:rPr>
        <w:t xml:space="preserve">данные о воздействии проекта на окружающую среду и о соответствии проекта экологическому законодательству, действующему на территории страны реализации проекта;</w:t>
      </w:r>
    </w:p>
    <w:p>
      <w:pPr>
        <w:jc w:val="both"/>
        <w:ind w:left="192"/>
        <w:spacing w:before="0" w:after="0" w:line="288" w:lineRule="auto"/>
        <w:numPr>
          <w:ilvl w:val="0"/>
          <w:numId w:val="58"/>
        </w:numPr>
        <w:rPr>
          <w:sz w:val="28"/>
          <w:szCs w:val="28"/>
          <w:u w:val=""/>
        </w:rPr>
      </w:pPr>
      <w:r>
        <w:rPr>
          <w:rFonts w:ascii="Times New Roman" w:hAnsi="Times New Roman" w:eastAsia="Times New Roman" w:cs="Times New Roman"/>
          <w:sz w:val="28"/>
          <w:szCs w:val="28"/>
          <w:u w:val=""/>
        </w:rPr>
        <w:t xml:space="preserve">наличие в составе проекта объектов государственной экологической экспертизы и государственной экспертизы проектной документации, </w:t>
      </w:r>
      <w:r>
        <w:br/>
      </w:r>
      <w:r>
        <w:rPr>
          <w:rFonts w:ascii="Times New Roman" w:hAnsi="Times New Roman" w:eastAsia="Times New Roman" w:cs="Times New Roman"/>
          <w:sz w:val="28"/>
          <w:szCs w:val="28"/>
          <w:u w:val=""/>
        </w:rPr>
        <w:t xml:space="preserve">их перечень,</w:t>
      </w:r>
    </w:p>
    <w:p>
      <w:pPr>
        <w:jc w:val="both"/>
        <w:ind w:left="192"/>
        <w:spacing w:before="0" w:after="0" w:line="288" w:lineRule="auto"/>
        <w:numPr>
          <w:ilvl w:val="0"/>
          <w:numId w:val="58"/>
        </w:numPr>
        <w:rPr>
          <w:sz w:val="28"/>
          <w:szCs w:val="28"/>
          <w:u w:val=""/>
        </w:rPr>
      </w:pPr>
      <w:r>
        <w:rPr>
          <w:rFonts w:ascii="Times New Roman" w:hAnsi="Times New Roman" w:eastAsia="Times New Roman" w:cs="Times New Roman"/>
          <w:sz w:val="28"/>
          <w:szCs w:val="28"/>
          <w:u w:val=""/>
        </w:rPr>
        <w:t xml:space="preserve">перечень стандартов и нормативных документов в области экологии </w:t>
      </w:r>
      <w:r>
        <w:br/>
      </w:r>
      <w:r>
        <w:rPr>
          <w:rFonts w:ascii="Times New Roman" w:hAnsi="Times New Roman" w:eastAsia="Times New Roman" w:cs="Times New Roman"/>
          <w:sz w:val="28"/>
          <w:szCs w:val="28"/>
          <w:u w:val=""/>
        </w:rPr>
        <w:t xml:space="preserve">в стране реализации проекта (кроме Российской Федерации), </w:t>
      </w:r>
    </w:p>
    <w:p>
      <w:pPr>
        <w:jc w:val="both"/>
        <w:ind w:left="192"/>
        <w:spacing w:before="0" w:after="0" w:line="288" w:lineRule="auto"/>
        <w:numPr>
          <w:ilvl w:val="0"/>
          <w:numId w:val="58"/>
        </w:numPr>
        <w:rPr>
          <w:sz w:val="28"/>
          <w:szCs w:val="28"/>
          <w:u w:val=""/>
        </w:rPr>
      </w:pPr>
      <w:r>
        <w:rPr>
          <w:rFonts w:ascii="Times New Roman" w:hAnsi="Times New Roman" w:eastAsia="Times New Roman" w:cs="Times New Roman"/>
          <w:sz w:val="28"/>
          <w:szCs w:val="28"/>
          <w:u w:val=""/>
        </w:rPr>
        <w:t xml:space="preserve">результаты государственной экологической экспертизы, государственной экспертизы проектной документации, независимой экологической экспертизы, иных мероприятий по проверке соответствия проекта требованиям охраны окружающей среды (если они проводились) либо план-график их получения (при отсутствии заключений к началу экспертизы проекта), </w:t>
      </w:r>
    </w:p>
    <w:p>
      <w:pPr>
        <w:jc w:val="both"/>
        <w:ind w:left="192"/>
        <w:spacing w:before="0" w:after="0" w:line="288" w:lineRule="auto"/>
        <w:numPr>
          <w:ilvl w:val="0"/>
          <w:numId w:val="58"/>
        </w:numPr>
        <w:rPr>
          <w:sz w:val="28"/>
          <w:szCs w:val="28"/>
          <w:u w:val=""/>
        </w:rPr>
      </w:pPr>
      <w:r>
        <w:rPr>
          <w:rFonts w:ascii="Times New Roman" w:hAnsi="Times New Roman" w:eastAsia="Times New Roman" w:cs="Times New Roman"/>
          <w:sz w:val="28"/>
          <w:szCs w:val="28"/>
          <w:u w:val=""/>
        </w:rPr>
        <w:t xml:space="preserve">показатели эффективности использования природных ресурсов (экологической эффективности), методика их расчета,</w:t>
      </w:r>
    </w:p>
    <w:p>
      <w:pPr>
        <w:jc w:val="both"/>
        <w:ind w:left="192"/>
        <w:spacing w:before="0" w:after="0" w:line="288" w:lineRule="auto"/>
        <w:numPr>
          <w:ilvl w:val="0"/>
          <w:numId w:val="58"/>
        </w:numPr>
        <w:rPr>
          <w:sz w:val="28"/>
          <w:szCs w:val="28"/>
          <w:u w:val=""/>
        </w:rPr>
      </w:pPr>
      <w:r>
        <w:rPr>
          <w:rFonts w:ascii="Times New Roman" w:hAnsi="Times New Roman" w:eastAsia="Times New Roman" w:cs="Times New Roman"/>
          <w:sz w:val="28"/>
          <w:szCs w:val="28"/>
          <w:u w:val=""/>
        </w:rPr>
        <w:t xml:space="preserve">выводы о показателях экологической эффективности с учетом среднеотраслевых значений и показателей в динамике реализации проекта, </w:t>
      </w:r>
    </w:p>
    <w:p>
      <w:pPr>
        <w:jc w:val="both"/>
        <w:ind w:left="192"/>
        <w:spacing w:before="0" w:after="0" w:line="288" w:lineRule="auto"/>
        <w:numPr>
          <w:ilvl w:val="0"/>
          <w:numId w:val="58"/>
        </w:numPr>
        <w:rPr>
          <w:sz w:val="28"/>
          <w:szCs w:val="28"/>
          <w:u w:val=""/>
        </w:rPr>
      </w:pPr>
      <w:r>
        <w:rPr>
          <w:rFonts w:ascii="Times New Roman" w:hAnsi="Times New Roman" w:eastAsia="Times New Roman" w:cs="Times New Roman"/>
          <w:sz w:val="28"/>
          <w:szCs w:val="28"/>
          <w:u w:val=""/>
        </w:rPr>
        <w:t xml:space="preserve">описание планируемых мероприятий по охране окружающей среды, повышению эффективности использования природных ресурсов, улучшению экологической обстановки (с указанием стоимости мероприятий и плана-графика их реализации).</w:t>
      </w:r>
    </w:p>
    <w:p>
      <w:pPr>
        <w:jc w:val="left"/>
        <w:ind/>
        <w:spacing w:before="0" w:after="0" w:line="432" w:lineRule="auto"/>
      </w:pPr>
      <w:r>
        <w:rPr>
          <w:sz w:val="28"/>
          <w:szCs w:val="28"/>
          <w:u w:val=""/>
        </w:rPr>
        <w:t xml:space="preserve"> </w:t>
      </w:r>
    </w:p>
    <w:p>
      <w:pPr>
        <w:jc w:val="center"/>
        <w:ind w:left="192"/>
        <w:spacing w:before="0" w:after="0" w:line="288" w:lineRule="auto"/>
        <w:numPr>
          <w:ilvl w:val="0"/>
          <w:numId w:val="59"/>
        </w:numPr>
        <w:rPr>
          <w:sz w:val="28"/>
          <w:szCs w:val="28"/>
          <w:u w:val=""/>
        </w:rPr>
      </w:pPr>
      <w:r>
        <w:rPr>
          <w:rFonts w:ascii="Times New Roman" w:hAnsi="Times New Roman" w:eastAsia="Times New Roman" w:cs="Times New Roman"/>
          <w:sz w:val="28"/>
          <w:szCs w:val="28"/>
          <w:b/>
          <w:u w:val=""/>
        </w:rPr>
        <w:t xml:space="preserve">Организационный план</w:t>
      </w:r>
    </w:p>
    <w:p>
      <w:pPr>
        <w:jc w:val="left"/>
        <w:ind/>
        <w:spacing w:before="0" w:after="0" w:line="432" w:lineRule="auto"/>
      </w:pPr>
      <w:r>
        <w:rPr>
          <w:sz w:val="28"/>
          <w:szCs w:val="28"/>
          <w:u w:val=""/>
        </w:rPr>
        <w:t xml:space="preserve"> </w:t>
      </w:r>
    </w:p>
    <w:p>
      <w:pPr>
        <w:jc w:val="both"/>
        <w:ind w:left="192"/>
        <w:spacing w:before="0" w:after="0" w:line="288" w:lineRule="auto"/>
        <w:numPr>
          <w:ilvl w:val="1"/>
          <w:numId w:val="61"/>
        </w:numPr>
        <w:rPr>
          <w:sz w:val="28"/>
          <w:szCs w:val="28"/>
          <w:u w:val=""/>
        </w:rPr>
      </w:pPr>
      <w:r>
        <w:rPr>
          <w:rFonts w:ascii="Times New Roman" w:hAnsi="Times New Roman" w:eastAsia="Times New Roman" w:cs="Times New Roman"/>
          <w:sz w:val="28"/>
          <w:szCs w:val="28"/>
          <w:b/>
          <w:u w:val=""/>
        </w:rPr>
        <w:t xml:space="preserve">Организационно-правовая форма</w:t>
      </w:r>
      <w:r>
        <w:rPr>
          <w:rFonts w:ascii="Times New Roman" w:hAnsi="Times New Roman" w:eastAsia="Times New Roman" w:cs="Times New Roman"/>
          <w:sz w:val="28"/>
          <w:szCs w:val="28"/>
          <w:u w:val=""/>
        </w:rPr>
        <w:t xml:space="preserve"> реализации проекта (идентификация Оператора и Заемщика проекта).</w:t>
      </w:r>
    </w:p>
    <w:p>
      <w:pPr>
        <w:jc w:val="both"/>
        <w:ind/>
        <w:spacing w:before="0" w:after="0" w:line="288" w:lineRule="auto"/>
      </w:pPr>
      <w:r>
        <w:rPr>
          <w:rFonts w:ascii="Times New Roman" w:hAnsi="Times New Roman" w:eastAsia="Times New Roman" w:cs="Times New Roman"/>
          <w:sz w:val="28"/>
          <w:szCs w:val="28"/>
          <w:b/>
          <w:u w:val=""/>
        </w:rPr>
        <w:t xml:space="preserve">Оператор проекта </w:t>
      </w:r>
      <w:r>
        <w:rPr>
          <w:rFonts w:ascii="Times New Roman" w:hAnsi="Times New Roman" w:eastAsia="Times New Roman" w:cs="Times New Roman"/>
          <w:sz w:val="28"/>
          <w:szCs w:val="28"/>
          <w:u w:val=""/>
        </w:rPr>
        <w:t xml:space="preserve">– юридическое лицо, которому предстоит осуществлять проект. Оператором может быть специально созданная </w:t>
      </w:r>
      <w:r>
        <w:br/>
      </w:r>
      <w:r>
        <w:rPr>
          <w:rFonts w:ascii="Times New Roman" w:hAnsi="Times New Roman" w:eastAsia="Times New Roman" w:cs="Times New Roman"/>
          <w:sz w:val="28"/>
          <w:szCs w:val="28"/>
          <w:u w:val=""/>
        </w:rPr>
        <w:t xml:space="preserve">для реализации проекта компания. Как правило, Оператор является Заемщиком по проекту. Кроме того, одно и то же юридическое лицо зачастую является Инициатором, Оператором и Заемщиком одновременно.</w:t>
      </w:r>
    </w:p>
    <w:p>
      <w:pPr>
        <w:jc w:val="both"/>
        <w:ind/>
        <w:spacing w:before="0" w:after="0" w:line="288" w:lineRule="auto"/>
      </w:pPr>
      <w:r>
        <w:rPr>
          <w:rFonts w:ascii="Times New Roman" w:hAnsi="Times New Roman" w:eastAsia="Times New Roman" w:cs="Times New Roman"/>
          <w:sz w:val="28"/>
          <w:szCs w:val="28"/>
          <w:u w:val=""/>
        </w:rPr>
        <w:t xml:space="preserve">В случае несовпадения Оператора/Заемщика проекта с Инициатором необходимо подробно описать схему реализации проекта (при необходимости указать участника проекта, выполняющего функцию Гаранта </w:t>
      </w:r>
      <w:r>
        <w:br/>
      </w:r>
      <w:r>
        <w:rPr>
          <w:rFonts w:ascii="Times New Roman" w:hAnsi="Times New Roman" w:eastAsia="Times New Roman" w:cs="Times New Roman"/>
          <w:sz w:val="28"/>
          <w:szCs w:val="28"/>
          <w:u w:val=""/>
        </w:rPr>
        <w:t xml:space="preserve">или Поручителя) и привести данные по Оператору/Заемщику в соответствии </w:t>
      </w:r>
      <w:r>
        <w:br/>
      </w:r>
      <w:r>
        <w:rPr>
          <w:rFonts w:ascii="Times New Roman" w:hAnsi="Times New Roman" w:eastAsia="Times New Roman" w:cs="Times New Roman"/>
          <w:sz w:val="28"/>
          <w:szCs w:val="28"/>
          <w:u w:val=""/>
        </w:rPr>
        <w:t xml:space="preserve">с разделом 2 настоящих Требований (для действующих компаний).</w:t>
      </w:r>
    </w:p>
    <w:p>
      <w:pPr>
        <w:jc w:val="both"/>
        <w:ind/>
        <w:spacing w:before="0" w:after="0" w:line="288" w:lineRule="auto"/>
      </w:pPr>
      <w:r>
        <w:rPr>
          <w:rFonts w:ascii="Times New Roman" w:hAnsi="Times New Roman" w:eastAsia="Times New Roman" w:cs="Times New Roman"/>
          <w:sz w:val="28"/>
          <w:szCs w:val="28"/>
          <w:b/>
          <w:u w:val=""/>
        </w:rPr>
        <w:t xml:space="preserve">Для новой, специально создающейся для реализации проекта компании, </w:t>
      </w:r>
      <w:r>
        <w:rPr>
          <w:rFonts w:ascii="Times New Roman" w:hAnsi="Times New Roman" w:eastAsia="Times New Roman" w:cs="Times New Roman"/>
          <w:sz w:val="28"/>
          <w:szCs w:val="28"/>
          <w:u w:val=""/>
        </w:rPr>
        <w:t xml:space="preserve">необходимо привести следующие фактические или плановые данные:</w:t>
      </w:r>
    </w:p>
    <w:p>
      <w:pPr>
        <w:jc w:val="both"/>
        <w:ind w:left="192"/>
        <w:spacing w:before="0" w:after="0" w:line="288" w:lineRule="auto"/>
        <w:numPr>
          <w:ilvl w:val="0"/>
          <w:numId w:val="62"/>
        </w:numPr>
        <w:rPr>
          <w:sz w:val="28"/>
          <w:szCs w:val="28"/>
          <w:u w:val=""/>
        </w:rPr>
      </w:pPr>
      <w:r>
        <w:rPr>
          <w:rFonts w:ascii="Times New Roman" w:hAnsi="Times New Roman" w:eastAsia="Times New Roman" w:cs="Times New Roman"/>
          <w:sz w:val="28"/>
          <w:szCs w:val="28"/>
          <w:u w:val=""/>
        </w:rPr>
        <w:t xml:space="preserve">организационно-правовая форма, наименование, адрес и дата регистрации (начала работы); руководство: Ф.И.О. и должности ключевых руководителей предприятия, которые относятся к числу лиц, принимающих решения;</w:t>
      </w:r>
    </w:p>
    <w:p>
      <w:pPr>
        <w:jc w:val="both"/>
        <w:ind w:left="192"/>
        <w:spacing w:before="0" w:after="0" w:line="288" w:lineRule="auto"/>
        <w:numPr>
          <w:ilvl w:val="0"/>
          <w:numId w:val="62"/>
        </w:numPr>
        <w:rPr>
          <w:sz w:val="28"/>
          <w:szCs w:val="28"/>
          <w:u w:val=""/>
        </w:rPr>
      </w:pPr>
      <w:r>
        <w:rPr>
          <w:rFonts w:ascii="Times New Roman" w:hAnsi="Times New Roman" w:eastAsia="Times New Roman" w:cs="Times New Roman"/>
          <w:sz w:val="28"/>
          <w:szCs w:val="28"/>
          <w:u w:val=""/>
        </w:rPr>
        <w:t xml:space="preserve">телефон, факс, адрес электронной почты, адрес официального сайта </w:t>
      </w:r>
      <w:r>
        <w:br/>
      </w:r>
      <w:r>
        <w:rPr>
          <w:rFonts w:ascii="Times New Roman" w:hAnsi="Times New Roman" w:eastAsia="Times New Roman" w:cs="Times New Roman"/>
          <w:sz w:val="28"/>
          <w:szCs w:val="28"/>
          <w:u w:val=""/>
        </w:rPr>
        <w:t xml:space="preserve">в информационно-коммуникационной сети «Интернет»;</w:t>
      </w:r>
    </w:p>
    <w:p>
      <w:pPr>
        <w:jc w:val="both"/>
        <w:ind w:left="192"/>
        <w:spacing w:before="0" w:after="0" w:line="288" w:lineRule="auto"/>
        <w:numPr>
          <w:ilvl w:val="0"/>
          <w:numId w:val="62"/>
        </w:numPr>
        <w:rPr>
          <w:sz w:val="28"/>
          <w:szCs w:val="28"/>
          <w:u w:val=""/>
        </w:rPr>
      </w:pPr>
      <w:r>
        <w:rPr>
          <w:rFonts w:ascii="Times New Roman" w:hAnsi="Times New Roman" w:eastAsia="Times New Roman" w:cs="Times New Roman"/>
          <w:sz w:val="28"/>
          <w:szCs w:val="28"/>
          <w:u w:val=""/>
        </w:rPr>
        <w:t xml:space="preserve">размер уставного (акционерного) капитала. Количество и номинал выпущенных акций, в том числе обыкновенных и привилегированных;</w:t>
      </w:r>
    </w:p>
    <w:p>
      <w:pPr>
        <w:jc w:val="both"/>
        <w:ind w:left="192"/>
        <w:spacing w:before="0" w:after="0" w:line="288" w:lineRule="auto"/>
        <w:numPr>
          <w:ilvl w:val="0"/>
          <w:numId w:val="62"/>
        </w:numPr>
        <w:rPr>
          <w:sz w:val="28"/>
          <w:szCs w:val="28"/>
          <w:u w:val=""/>
        </w:rPr>
      </w:pPr>
      <w:r>
        <w:rPr>
          <w:rFonts w:ascii="Times New Roman" w:hAnsi="Times New Roman" w:eastAsia="Times New Roman" w:cs="Times New Roman"/>
          <w:sz w:val="28"/>
          <w:szCs w:val="28"/>
          <w:u w:val=""/>
        </w:rPr>
        <w:t xml:space="preserve">доля оплаченного капитала;</w:t>
      </w:r>
    </w:p>
    <w:p>
      <w:pPr>
        <w:jc w:val="both"/>
        <w:ind w:left="192"/>
        <w:spacing w:before="0" w:after="0" w:line="288" w:lineRule="auto"/>
        <w:numPr>
          <w:ilvl w:val="0"/>
          <w:numId w:val="62"/>
        </w:numPr>
        <w:rPr>
          <w:sz w:val="28"/>
          <w:szCs w:val="28"/>
          <w:u w:val=""/>
        </w:rPr>
      </w:pPr>
      <w:r>
        <w:rPr>
          <w:rFonts w:ascii="Times New Roman" w:hAnsi="Times New Roman" w:eastAsia="Times New Roman" w:cs="Times New Roman"/>
          <w:sz w:val="28"/>
          <w:szCs w:val="28"/>
          <w:u w:val=""/>
        </w:rPr>
        <w:t xml:space="preserve">количество и номинал объявленных акций;</w:t>
      </w:r>
    </w:p>
    <w:p>
      <w:pPr>
        <w:jc w:val="both"/>
        <w:ind w:left="192"/>
        <w:spacing w:before="0" w:after="0" w:line="288" w:lineRule="auto"/>
        <w:numPr>
          <w:ilvl w:val="0"/>
          <w:numId w:val="62"/>
        </w:numPr>
        <w:rPr>
          <w:sz w:val="28"/>
          <w:szCs w:val="28"/>
          <w:u w:val=""/>
        </w:rPr>
      </w:pPr>
      <w:r>
        <w:rPr>
          <w:rFonts w:ascii="Times New Roman" w:hAnsi="Times New Roman" w:eastAsia="Times New Roman" w:cs="Times New Roman"/>
          <w:sz w:val="28"/>
          <w:szCs w:val="28"/>
          <w:u w:val=""/>
        </w:rPr>
        <w:t xml:space="preserve">перечень учредителей (акционеров), с указанием их долей в капитале; принципиальные особые положения устава.</w:t>
      </w:r>
    </w:p>
    <w:p>
      <w:pPr>
        <w:jc w:val="both"/>
        <w:ind w:left="192"/>
        <w:spacing w:before="0" w:after="0" w:line="288" w:lineRule="auto"/>
        <w:numPr>
          <w:ilvl w:val="0"/>
          <w:numId w:val="62"/>
        </w:numPr>
        <w:rPr>
          <w:sz w:val="28"/>
          <w:szCs w:val="28"/>
          <w:u w:val=""/>
        </w:rPr>
      </w:pPr>
      <w:r>
        <w:rPr>
          <w:rFonts w:ascii="Times New Roman" w:hAnsi="Times New Roman" w:eastAsia="Times New Roman" w:cs="Times New Roman"/>
          <w:sz w:val="28"/>
          <w:szCs w:val="28"/>
          <w:u w:val=""/>
        </w:rPr>
        <w:t xml:space="preserve">организационная структура управления предприятием (схема).</w:t>
      </w:r>
    </w:p>
    <w:p>
      <w:pPr>
        <w:jc w:val="both"/>
        <w:ind w:left="192"/>
        <w:spacing w:before="0" w:after="0" w:line="288" w:lineRule="auto"/>
        <w:numPr>
          <w:ilvl w:val="0"/>
          <w:numId w:val="62"/>
        </w:numPr>
        <w:rPr>
          <w:sz w:val="28"/>
          <w:szCs w:val="28"/>
          <w:u w:val=""/>
        </w:rPr>
      </w:pPr>
      <w:r>
        <w:rPr>
          <w:rFonts w:ascii="Times New Roman" w:hAnsi="Times New Roman" w:eastAsia="Times New Roman" w:cs="Times New Roman"/>
          <w:sz w:val="28"/>
          <w:szCs w:val="28"/>
          <w:u w:val=""/>
        </w:rPr>
        <w:t xml:space="preserve">производственная структура предприятия (схема).</w:t>
      </w:r>
    </w:p>
    <w:p>
      <w:pPr>
        <w:jc w:val="both"/>
        <w:ind w:left="192"/>
        <w:spacing w:before="0" w:after="0" w:line="288" w:lineRule="auto"/>
        <w:numPr>
          <w:ilvl w:val="0"/>
          <w:numId w:val="62"/>
        </w:numPr>
        <w:rPr>
          <w:sz w:val="28"/>
          <w:szCs w:val="28"/>
          <w:u w:val=""/>
        </w:rPr>
      </w:pPr>
      <w:r>
        <w:rPr>
          <w:rFonts w:ascii="Times New Roman" w:hAnsi="Times New Roman" w:eastAsia="Times New Roman" w:cs="Times New Roman"/>
          <w:sz w:val="28"/>
          <w:szCs w:val="28"/>
          <w:u w:val=""/>
        </w:rPr>
        <w:t xml:space="preserve">трудовые ресурсы и заработная плата:</w:t>
      </w:r>
    </w:p>
    <w:p>
      <w:pPr>
        <w:jc w:val="both"/>
        <w:ind w:left="576"/>
        <w:spacing w:before="0" w:after="0" w:line="288" w:lineRule="auto"/>
        <w:numPr>
          <w:ilvl w:val="0"/>
          <w:numId w:val="62"/>
        </w:numPr>
        <w:rPr>
          <w:sz w:val="28"/>
          <w:szCs w:val="28"/>
          <w:u w:val=""/>
        </w:rPr>
      </w:pPr>
      <w:r>
        <w:rPr>
          <w:rFonts w:ascii="Times New Roman" w:hAnsi="Times New Roman" w:eastAsia="Times New Roman" w:cs="Times New Roman"/>
          <w:sz w:val="28"/>
          <w:szCs w:val="28"/>
          <w:u w:val=""/>
        </w:rPr>
        <w:t xml:space="preserve">укрупненное штатное расписание (указать размер заработной платы </w:t>
      </w:r>
      <w:r>
        <w:br/>
      </w:r>
      <w:r>
        <w:rPr>
          <w:rFonts w:ascii="Times New Roman" w:hAnsi="Times New Roman" w:eastAsia="Times New Roman" w:cs="Times New Roman"/>
          <w:sz w:val="28"/>
          <w:szCs w:val="28"/>
          <w:u w:val=""/>
        </w:rPr>
        <w:t xml:space="preserve">без отчислений на социальные нужды, а также налогов, начисляемых с фонда оплаты труда);</w:t>
      </w:r>
    </w:p>
    <w:p>
      <w:pPr>
        <w:jc w:val="both"/>
        <w:ind w:left="576"/>
        <w:spacing w:before="0" w:after="0" w:line="288" w:lineRule="auto"/>
        <w:numPr>
          <w:ilvl w:val="0"/>
          <w:numId w:val="62"/>
        </w:numPr>
        <w:rPr>
          <w:sz w:val="28"/>
          <w:szCs w:val="28"/>
          <w:u w:val=""/>
        </w:rPr>
      </w:pPr>
      <w:r>
        <w:rPr>
          <w:rFonts w:ascii="Times New Roman" w:hAnsi="Times New Roman" w:eastAsia="Times New Roman" w:cs="Times New Roman"/>
          <w:sz w:val="28"/>
          <w:szCs w:val="28"/>
          <w:u w:val=""/>
        </w:rPr>
        <w:t xml:space="preserve">обеспеченность персоналом (административно-управленческий, сбытовой, производственный основной и вспомогательный);</w:t>
      </w:r>
    </w:p>
    <w:p>
      <w:pPr>
        <w:jc w:val="both"/>
        <w:ind w:left="576"/>
        <w:spacing w:before="0" w:after="0" w:line="288" w:lineRule="auto"/>
        <w:numPr>
          <w:ilvl w:val="0"/>
          <w:numId w:val="62"/>
        </w:numPr>
        <w:rPr>
          <w:sz w:val="28"/>
          <w:szCs w:val="28"/>
          <w:u w:val=""/>
        </w:rPr>
      </w:pPr>
      <w:r>
        <w:rPr>
          <w:rFonts w:ascii="Times New Roman" w:hAnsi="Times New Roman" w:eastAsia="Times New Roman" w:cs="Times New Roman"/>
          <w:sz w:val="28"/>
          <w:szCs w:val="28"/>
          <w:u w:val=""/>
        </w:rPr>
        <w:t xml:space="preserve">план найма и подготовки персонала.</w:t>
      </w:r>
    </w:p>
    <w:p>
      <w:pPr>
        <w:jc w:val="both"/>
        <w:ind w:left="192"/>
        <w:spacing w:before="0" w:after="0" w:line="288" w:lineRule="auto"/>
        <w:numPr>
          <w:ilvl w:val="1"/>
          <w:numId w:val="63"/>
        </w:numPr>
        <w:rPr>
          <w:sz w:val="28"/>
          <w:szCs w:val="28"/>
          <w:u w:val=""/>
        </w:rPr>
      </w:pPr>
      <w:r>
        <w:rPr>
          <w:rFonts w:ascii="Times New Roman" w:hAnsi="Times New Roman" w:eastAsia="Times New Roman" w:cs="Times New Roman"/>
          <w:sz w:val="28"/>
          <w:szCs w:val="28"/>
          <w:b/>
          <w:u w:val=""/>
        </w:rPr>
        <w:t xml:space="preserve">Основные партнеры: </w:t>
      </w:r>
      <w:r>
        <w:rPr>
          <w:rFonts w:ascii="Times New Roman" w:hAnsi="Times New Roman" w:eastAsia="Times New Roman" w:cs="Times New Roman"/>
          <w:sz w:val="28"/>
          <w:szCs w:val="28"/>
          <w:u w:val=""/>
        </w:rPr>
        <w:t xml:space="preserve">подрядчики, поставщики, покупатели продукции и др. Наименование (если партнер определен). </w:t>
      </w:r>
    </w:p>
    <w:p>
      <w:pPr>
        <w:jc w:val="both"/>
        <w:ind/>
        <w:spacing w:before="0" w:after="0" w:line="288" w:lineRule="auto"/>
      </w:pPr>
      <w:r>
        <w:rPr>
          <w:rFonts w:ascii="Times New Roman" w:hAnsi="Times New Roman" w:eastAsia="Times New Roman" w:cs="Times New Roman"/>
          <w:sz w:val="28"/>
          <w:szCs w:val="28"/>
          <w:u w:val=""/>
        </w:rPr>
        <w:t xml:space="preserve">Ожидаемое участие (совместное предприятие; финансовое участие; передача технологии; поставка/аренда оборудования; проектирование; строительство/аренда зданий и сооружений; поставка сырья, материалов </w:t>
      </w:r>
      <w:r>
        <w:br/>
      </w:r>
      <w:r>
        <w:rPr>
          <w:rFonts w:ascii="Times New Roman" w:hAnsi="Times New Roman" w:eastAsia="Times New Roman" w:cs="Times New Roman"/>
          <w:sz w:val="28"/>
          <w:szCs w:val="28"/>
          <w:u w:val=""/>
        </w:rPr>
        <w:t xml:space="preserve">и комплектующих; доступ к рынку; сбыт; другое).</w:t>
      </w:r>
    </w:p>
    <w:p>
      <w:pPr>
        <w:jc w:val="both"/>
        <w:ind/>
        <w:spacing w:before="0" w:after="0" w:line="288" w:lineRule="auto"/>
      </w:pPr>
      <w:r>
        <w:rPr>
          <w:rFonts w:ascii="Times New Roman" w:hAnsi="Times New Roman" w:eastAsia="Times New Roman" w:cs="Times New Roman"/>
          <w:sz w:val="28"/>
          <w:szCs w:val="28"/>
          <w:u w:val=""/>
        </w:rPr>
        <w:t xml:space="preserve">Наличие соответствующего контракта (договора) с партнером – привести в Приложениях к бизнес-плану.</w:t>
      </w:r>
    </w:p>
    <w:p>
      <w:pPr>
        <w:jc w:val="both"/>
        <w:ind w:left="192"/>
        <w:spacing w:before="0" w:after="0" w:line="288" w:lineRule="auto"/>
        <w:numPr>
          <w:ilvl w:val="1"/>
          <w:numId w:val="65"/>
        </w:numPr>
        <w:rPr>
          <w:sz w:val="28"/>
          <w:szCs w:val="28"/>
          <w:u w:val=""/>
        </w:rPr>
      </w:pPr>
      <w:r>
        <w:rPr>
          <w:rFonts w:ascii="Times New Roman" w:hAnsi="Times New Roman" w:eastAsia="Times New Roman" w:cs="Times New Roman"/>
          <w:sz w:val="28"/>
          <w:szCs w:val="28"/>
          <w:b/>
          <w:u w:val=""/>
        </w:rPr>
        <w:t xml:space="preserve">График реализации проекта</w:t>
      </w:r>
    </w:p>
    <w:p>
      <w:pPr>
        <w:jc w:val="both"/>
        <w:ind/>
        <w:spacing w:before="0" w:after="0" w:line="288" w:lineRule="auto"/>
      </w:pPr>
      <w:r>
        <w:rPr>
          <w:rFonts w:ascii="Times New Roman" w:hAnsi="Times New Roman" w:eastAsia="Times New Roman" w:cs="Times New Roman"/>
          <w:sz w:val="28"/>
          <w:szCs w:val="28"/>
          <w:u w:val=""/>
        </w:rPr>
        <w:t xml:space="preserve">Перечень этапов и форма представления графика реализации проекта приведены условно, в качестве примера.</w:t>
      </w:r>
    </w:p>
    <w:p>
      <w:pPr>
        <w:jc w:val="both"/>
        <w:ind/>
        <w:spacing w:before="0" w:after="0" w:line="288" w:lineRule="auto"/>
      </w:pPr>
      <w:r>
        <w:rPr>
          <w:rFonts w:ascii="Times New Roman" w:hAnsi="Times New Roman" w:eastAsia="Times New Roman" w:cs="Times New Roman"/>
          <w:sz w:val="28"/>
          <w:szCs w:val="28"/>
          <w:u w:val=""/>
        </w:rPr>
        <w:t xml:space="preserve">Указать календарные, либо относительные (от момента начала реализации проекта) даты начала и окончания этапов.</w:t>
      </w:r>
    </w:p>
    <w:p>
      <w:pPr>
        <w:jc w:val="left"/>
        <w:ind w:left="-72"/>
        <w:spacing w:before="0" w:after="0" w:line="288" w:lineRule="auto"/>
      </w:pPr>
    </w:p>
    <w:p>
      <w:pPr>
        <w:jc w:val="both"/>
        <w:ind/>
        <w:spacing w:before="0" w:after="0" w:line="288" w:lineRule="auto"/>
      </w:pPr>
      <w:r>
        <w:br/>
      </w:r>
      <w:r>
        <w:rPr>
          <w:rFonts w:ascii="Times New Roman" w:hAnsi="Times New Roman" w:eastAsia="Times New Roman" w:cs="Times New Roman"/>
          <w:sz w:val="28"/>
          <w:szCs w:val="28"/>
          <w:u w:val=""/>
        </w:rPr>
        <w:t xml:space="preserve">График реализации проекта требует подтверждения со стороны независимой надзорной компании (проведение входящего строительного аудита).</w:t>
      </w:r>
    </w:p>
    <w:p>
      <w:pPr>
        <w:jc w:val="both"/>
        <w:ind w:left="192"/>
        <w:spacing w:before="0" w:after="0" w:line="288" w:lineRule="auto"/>
        <w:numPr>
          <w:ilvl w:val="1"/>
          <w:numId w:val="67"/>
        </w:numPr>
        <w:rPr>
          <w:sz w:val="28"/>
          <w:szCs w:val="28"/>
          <w:u w:val=""/>
        </w:rPr>
      </w:pPr>
      <w:r>
        <w:rPr>
          <w:rFonts w:ascii="Times New Roman" w:hAnsi="Times New Roman" w:eastAsia="Times New Roman" w:cs="Times New Roman"/>
          <w:sz w:val="28"/>
          <w:szCs w:val="28"/>
          <w:b/>
          <w:u w:val=""/>
        </w:rPr>
        <w:t xml:space="preserve">Правовые вопросы осуществления проекта</w:t>
      </w:r>
    </w:p>
    <w:p>
      <w:pPr>
        <w:jc w:val="both"/>
        <w:ind/>
        <w:spacing w:before="0" w:after="0" w:line="288" w:lineRule="auto"/>
      </w:pPr>
      <w:r>
        <w:rPr>
          <w:rFonts w:ascii="Times New Roman" w:hAnsi="Times New Roman" w:eastAsia="Times New Roman" w:cs="Times New Roman"/>
          <w:sz w:val="28"/>
          <w:szCs w:val="28"/>
          <w:u w:val=""/>
        </w:rPr>
        <w:t xml:space="preserve">Перечень разрешительной документации, характеризующей специфику отдельных отраслей и дающих право на хозяйственную деятельность.</w:t>
      </w:r>
    </w:p>
    <w:p>
      <w:pPr>
        <w:jc w:val="both"/>
        <w:ind/>
        <w:spacing w:before="0" w:after="0" w:line="288" w:lineRule="auto"/>
      </w:pPr>
      <w:r>
        <w:rPr>
          <w:rFonts w:ascii="Times New Roman" w:hAnsi="Times New Roman" w:eastAsia="Times New Roman" w:cs="Times New Roman"/>
          <w:sz w:val="28"/>
          <w:szCs w:val="28"/>
          <w:u w:val=""/>
        </w:rPr>
        <w:t xml:space="preserve">Наличие соответствующей экспертизы градостроительной и проектно-сметной документации, а также утвержденного проекта строительства («Инструкция о порядке проведения государственной экспертизы проектов строительства» РДС 11-201-95, утвержденная постановлением Госстроя </w:t>
      </w:r>
      <w:r>
        <w:br/>
      </w:r>
      <w:r>
        <w:rPr>
          <w:rFonts w:ascii="Times New Roman" w:hAnsi="Times New Roman" w:eastAsia="Times New Roman" w:cs="Times New Roman"/>
          <w:sz w:val="28"/>
          <w:szCs w:val="28"/>
          <w:u w:val=""/>
        </w:rPr>
        <w:t xml:space="preserve">от 29.01.1998 № 18-10).</w:t>
      </w:r>
    </w:p>
    <w:p>
      <w:pPr>
        <w:jc w:val="left"/>
        <w:ind/>
        <w:spacing w:before="0" w:after="0" w:line="432" w:lineRule="auto"/>
      </w:pPr>
      <w:r>
        <w:rPr>
          <w:sz w:val="28"/>
          <w:szCs w:val="28"/>
          <w:u w:val=""/>
        </w:rPr>
        <w:t xml:space="preserve"> </w:t>
      </w:r>
    </w:p>
    <w:p>
      <w:pPr>
        <w:jc w:val="center"/>
        <w:ind w:left="192"/>
        <w:spacing w:before="0" w:after="0" w:line="288" w:lineRule="auto"/>
        <w:numPr>
          <w:ilvl w:val="0"/>
          <w:numId w:val="68"/>
        </w:numPr>
        <w:rPr>
          <w:sz w:val="28"/>
          <w:szCs w:val="28"/>
          <w:u w:val=""/>
        </w:rPr>
      </w:pPr>
      <w:r>
        <w:rPr>
          <w:rFonts w:ascii="Times New Roman" w:hAnsi="Times New Roman" w:eastAsia="Times New Roman" w:cs="Times New Roman"/>
          <w:sz w:val="28"/>
          <w:szCs w:val="28"/>
          <w:b/>
          <w:u w:val=""/>
        </w:rPr>
        <w:t xml:space="preserve">План производства (эксплуатации)</w:t>
      </w:r>
    </w:p>
    <w:p>
      <w:pPr>
        <w:jc w:val="left"/>
        <w:ind/>
        <w:spacing w:before="0" w:after="0" w:line="432" w:lineRule="auto"/>
      </w:pPr>
      <w:r>
        <w:rPr>
          <w:sz w:val="28"/>
          <w:szCs w:val="28"/>
          <w:u w:val=""/>
        </w:rPr>
        <w:t xml:space="preserve"> </w:t>
      </w:r>
    </w:p>
    <w:p>
      <w:pPr>
        <w:jc w:val="left"/>
        <w:ind/>
        <w:spacing w:before="0" w:after="0" w:line="288" w:lineRule="auto"/>
      </w:pPr>
      <w:r>
        <w:rPr>
          <w:rFonts w:ascii="Times New Roman" w:hAnsi="Times New Roman" w:eastAsia="Times New Roman" w:cs="Times New Roman"/>
          <w:sz w:val="28"/>
          <w:szCs w:val="28"/>
          <w:u w:val=""/>
        </w:rPr>
        <w:t xml:space="preserve">Необходимо привести в бизнес-плане: </w:t>
      </w:r>
    </w:p>
    <w:p>
      <w:pPr>
        <w:jc w:val="both"/>
        <w:ind w:left="304"/>
        <w:spacing w:before="0" w:after="0" w:line="288" w:lineRule="auto"/>
        <w:numPr>
          <w:ilvl w:val="0"/>
          <w:numId w:val="69"/>
        </w:numPr>
        <w:rPr>
          <w:sz w:val="28"/>
          <w:szCs w:val="28"/>
          <w:u w:val=""/>
        </w:rPr>
      </w:pPr>
      <w:r>
        <w:rPr>
          <w:rFonts w:ascii="Times New Roman" w:hAnsi="Times New Roman" w:eastAsia="Times New Roman" w:cs="Times New Roman"/>
          <w:sz w:val="28"/>
          <w:szCs w:val="28"/>
          <w:u w:val=""/>
        </w:rPr>
        <w:t xml:space="preserve">план объема выпуска продукции в разрезе продуктов (продуктовых линеек) или план эксплуатации объектов, построенный с учетом прогноза объема продаж (интенсивности эксплуатации), определенного в разделе плана продаж и стратегии маркетинга; </w:t>
      </w:r>
    </w:p>
    <w:p>
      <w:pPr>
        <w:jc w:val="both"/>
        <w:ind w:left="304"/>
        <w:spacing w:before="0" w:after="0" w:line="288" w:lineRule="auto"/>
        <w:numPr>
          <w:ilvl w:val="0"/>
          <w:numId w:val="69"/>
        </w:numPr>
        <w:rPr>
          <w:sz w:val="28"/>
          <w:szCs w:val="28"/>
          <w:u w:val=""/>
        </w:rPr>
      </w:pPr>
      <w:r>
        <w:rPr>
          <w:rFonts w:ascii="Times New Roman" w:hAnsi="Times New Roman" w:eastAsia="Times New Roman" w:cs="Times New Roman"/>
          <w:sz w:val="28"/>
          <w:szCs w:val="28"/>
          <w:u w:val=""/>
        </w:rPr>
        <w:t xml:space="preserve">краткое описание производственного процесса (схемы производственных потоков) или бизнес-модели (описание основных </w:t>
      </w:r>
      <w:r>
        <w:br/>
      </w:r>
      <w:r>
        <w:rPr>
          <w:rFonts w:ascii="Times New Roman" w:hAnsi="Times New Roman" w:eastAsia="Times New Roman" w:cs="Times New Roman"/>
          <w:sz w:val="28"/>
          <w:szCs w:val="28"/>
          <w:u w:val=""/>
        </w:rPr>
        <w:t xml:space="preserve">бизнес-процессов) на операционной (эксплуатационной) стадии реализации проекта. Если часть производственного процесса или отдельные бизнес-процессы предполагается передать на аутсорсинг, необходимо указать основных предполагаемых подрядчиков с обоснованием их выбора; </w:t>
      </w:r>
    </w:p>
    <w:p>
      <w:pPr>
        <w:jc w:val="both"/>
        <w:ind w:left="304"/>
        <w:spacing w:before="0" w:after="0" w:line="288" w:lineRule="auto"/>
        <w:numPr>
          <w:ilvl w:val="0"/>
          <w:numId w:val="69"/>
        </w:numPr>
        <w:rPr>
          <w:sz w:val="28"/>
          <w:szCs w:val="28"/>
          <w:u w:val=""/>
        </w:rPr>
      </w:pPr>
      <w:r>
        <w:rPr>
          <w:rFonts w:ascii="Times New Roman" w:hAnsi="Times New Roman" w:eastAsia="Times New Roman" w:cs="Times New Roman"/>
          <w:sz w:val="28"/>
          <w:szCs w:val="28"/>
          <w:u w:val=""/>
        </w:rPr>
        <w:t xml:space="preserve">краткое описание технологии производства (строительства) </w:t>
      </w:r>
      <w:r>
        <w:br/>
      </w:r>
      <w:r>
        <w:rPr>
          <w:rFonts w:ascii="Times New Roman" w:hAnsi="Times New Roman" w:eastAsia="Times New Roman" w:cs="Times New Roman"/>
          <w:sz w:val="28"/>
          <w:szCs w:val="28"/>
          <w:u w:val=""/>
        </w:rPr>
        <w:t xml:space="preserve">и оборудования, которое будет использоваться для производства готовой продукции (строительства объектов), а также факторы, определившие </w:t>
      </w:r>
      <w:r>
        <w:br/>
      </w:r>
      <w:r>
        <w:rPr>
          <w:rFonts w:ascii="Times New Roman" w:hAnsi="Times New Roman" w:eastAsia="Times New Roman" w:cs="Times New Roman"/>
          <w:sz w:val="28"/>
          <w:szCs w:val="28"/>
          <w:u w:val=""/>
        </w:rPr>
        <w:t xml:space="preserve">их выбор. При этом следует осветить вопросы новизны </w:t>
      </w:r>
      <w:r>
        <w:br/>
      </w:r>
      <w:r>
        <w:rPr>
          <w:rFonts w:ascii="Times New Roman" w:hAnsi="Times New Roman" w:eastAsia="Times New Roman" w:cs="Times New Roman"/>
          <w:sz w:val="28"/>
          <w:szCs w:val="28"/>
          <w:u w:val=""/>
        </w:rPr>
        <w:t xml:space="preserve">и конкурентоспособности технологии (оборудования) с точки зрения российских и международных стандартов, а также привести информацию об опыте Участников проекта в их использовании; </w:t>
      </w:r>
    </w:p>
    <w:p>
      <w:pPr>
        <w:jc w:val="both"/>
        <w:ind w:left="304"/>
        <w:spacing w:before="0" w:after="0" w:line="288" w:lineRule="auto"/>
        <w:numPr>
          <w:ilvl w:val="0"/>
          <w:numId w:val="69"/>
        </w:numPr>
        <w:rPr>
          <w:sz w:val="28"/>
          <w:szCs w:val="28"/>
          <w:u w:val=""/>
        </w:rPr>
      </w:pPr>
      <w:r>
        <w:rPr>
          <w:rFonts w:ascii="Times New Roman" w:hAnsi="Times New Roman" w:eastAsia="Times New Roman" w:cs="Times New Roman"/>
          <w:sz w:val="28"/>
          <w:szCs w:val="28"/>
          <w:u w:val=""/>
        </w:rPr>
        <w:t xml:space="preserve">удельные затраты сырья и материалов, энергии, времени работы оборудования и персонала для осуществления ключевых бизнес процессов </w:t>
      </w:r>
      <w:r>
        <w:br/>
      </w:r>
      <w:r>
        <w:rPr>
          <w:rFonts w:ascii="Times New Roman" w:hAnsi="Times New Roman" w:eastAsia="Times New Roman" w:cs="Times New Roman"/>
          <w:sz w:val="28"/>
          <w:szCs w:val="28"/>
          <w:u w:val=""/>
        </w:rPr>
        <w:t xml:space="preserve">или для выпуска единицы продукта. </w:t>
      </w:r>
    </w:p>
    <w:p>
      <w:pPr>
        <w:jc w:val="both"/>
        <w:ind/>
        <w:spacing w:before="0" w:after="0" w:line="288" w:lineRule="auto"/>
      </w:pPr>
      <w:r>
        <w:rPr>
          <w:rFonts w:ascii="Times New Roman" w:hAnsi="Times New Roman" w:eastAsia="Times New Roman" w:cs="Times New Roman"/>
          <w:sz w:val="28"/>
          <w:szCs w:val="28"/>
          <w:u w:val=""/>
        </w:rPr>
        <w:t xml:space="preserve"> Привести информацию по системе обеспечения качества продукта </w:t>
      </w:r>
      <w:r>
        <w:br/>
      </w:r>
      <w:r>
        <w:rPr>
          <w:rFonts w:ascii="Times New Roman" w:hAnsi="Times New Roman" w:eastAsia="Times New Roman" w:cs="Times New Roman"/>
          <w:sz w:val="28"/>
          <w:szCs w:val="28"/>
          <w:u w:val=""/>
        </w:rPr>
        <w:t xml:space="preserve">(если высокое качество относится к конкурентным преимуществам продукта).</w:t>
      </w:r>
    </w:p>
    <w:p>
      <w:pPr>
        <w:jc w:val="both"/>
        <w:ind/>
        <w:spacing w:before="0" w:after="0" w:line="288" w:lineRule="auto"/>
      </w:pPr>
      <w:r>
        <w:rPr>
          <w:rFonts w:ascii="Times New Roman" w:hAnsi="Times New Roman" w:eastAsia="Times New Roman" w:cs="Times New Roman"/>
          <w:sz w:val="28"/>
          <w:szCs w:val="28"/>
          <w:u w:val=""/>
        </w:rPr>
        <w:t xml:space="preserve">При отсутствии сезонных колебаний объемов производства данная таблица не приводится. При этом предполагается, что после выхода на проектную мощность объем производства постоянен до конца периода расчета проекта.</w:t>
      </w:r>
    </w:p>
    <w:p>
      <w:pPr>
        <w:jc w:val="left"/>
        <w:ind/>
        <w:spacing w:before="0" w:after="0" w:line="432" w:lineRule="auto"/>
      </w:pPr>
      <w:r>
        <w:rPr>
          <w:sz w:val="28"/>
          <w:szCs w:val="28"/>
          <w:u w:val=""/>
        </w:rPr>
        <w:t xml:space="preserve"> </w:t>
      </w:r>
    </w:p>
    <w:p>
      <w:pPr>
        <w:jc w:val="center"/>
        <w:ind w:left="192"/>
        <w:spacing w:before="0" w:after="0" w:line="288" w:lineRule="auto"/>
        <w:numPr>
          <w:ilvl w:val="0"/>
          <w:numId w:val="70"/>
        </w:numPr>
        <w:rPr>
          <w:sz w:val="28"/>
          <w:szCs w:val="28"/>
          <w:u w:val=""/>
        </w:rPr>
      </w:pPr>
      <w:r>
        <w:rPr>
          <w:rFonts w:ascii="Times New Roman" w:hAnsi="Times New Roman" w:eastAsia="Times New Roman" w:cs="Times New Roman"/>
          <w:sz w:val="28"/>
          <w:szCs w:val="28"/>
          <w:b/>
          <w:u w:val=""/>
        </w:rPr>
        <w:t xml:space="preserve">Финансовый план</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u w:val=""/>
        </w:rPr>
        <w:t xml:space="preserve">В каждом параграфе данного раздела приводятся исходные данные, принятые допущения и особенности расчета для данного проекта, значения соответствующих расчетных параметров, а также интерпретация полученных результатов. Расчетные таблицы и графики приводятся в приложениях </w:t>
      </w:r>
      <w:r>
        <w:br/>
      </w:r>
      <w:r>
        <w:rPr>
          <w:rFonts w:ascii="Times New Roman" w:hAnsi="Times New Roman" w:eastAsia="Times New Roman" w:cs="Times New Roman"/>
          <w:sz w:val="28"/>
          <w:szCs w:val="28"/>
          <w:u w:val=""/>
        </w:rPr>
        <w:t xml:space="preserve">к бизнес-плану.</w:t>
      </w:r>
    </w:p>
    <w:p>
      <w:pPr>
        <w:jc w:val="left"/>
        <w:ind w:left="192"/>
        <w:spacing w:before="0" w:after="0" w:line="288" w:lineRule="auto"/>
        <w:numPr>
          <w:ilvl w:val="1"/>
          <w:numId w:val="72"/>
        </w:numPr>
        <w:rPr>
          <w:sz w:val="28"/>
          <w:szCs w:val="28"/>
          <w:u w:val=""/>
        </w:rPr>
      </w:pPr>
      <w:r>
        <w:rPr>
          <w:rFonts w:ascii="Times New Roman" w:hAnsi="Times New Roman" w:eastAsia="Times New Roman" w:cs="Times New Roman"/>
          <w:sz w:val="28"/>
          <w:szCs w:val="28"/>
          <w:b/>
          <w:u w:val=""/>
        </w:rPr>
        <w:t xml:space="preserve">Условия и допущения, принятые для расчета</w:t>
      </w:r>
    </w:p>
    <w:p>
      <w:pPr>
        <w:jc w:val="both"/>
        <w:ind/>
        <w:spacing w:before="0" w:after="0" w:line="288" w:lineRule="auto"/>
      </w:pPr>
      <w:r>
        <w:rPr>
          <w:rFonts w:ascii="Times New Roman" w:hAnsi="Times New Roman" w:eastAsia="Times New Roman" w:cs="Times New Roman"/>
          <w:sz w:val="28"/>
          <w:szCs w:val="28"/>
          <w:u w:val=""/>
        </w:rPr>
        <w:t xml:space="preserve">Приводится ссылка на программное обеспечение, на котором выполнена финансово- экономическая оценка проекта.</w:t>
      </w:r>
    </w:p>
    <w:p>
      <w:pPr>
        <w:jc w:val="left"/>
        <w:ind/>
        <w:spacing w:before="0" w:after="0" w:line="288" w:lineRule="auto"/>
      </w:pPr>
      <w:r>
        <w:rPr>
          <w:rFonts w:ascii="Times New Roman" w:hAnsi="Times New Roman" w:eastAsia="Times New Roman" w:cs="Times New Roman"/>
          <w:sz w:val="28"/>
          <w:szCs w:val="28"/>
          <w:u w:val=""/>
        </w:rPr>
        <w:t xml:space="preserve">К базовому варианту расчета предъявляются следующие требования:</w:t>
      </w:r>
    </w:p>
    <w:p>
      <w:pPr>
        <w:jc w:val="both"/>
        <w:ind w:left="304"/>
        <w:spacing w:before="0" w:after="0" w:line="288" w:lineRule="auto"/>
        <w:numPr>
          <w:ilvl w:val="0"/>
          <w:numId w:val="73"/>
        </w:numPr>
        <w:rPr>
          <w:sz w:val="28"/>
          <w:szCs w:val="28"/>
          <w:u w:val=""/>
        </w:rPr>
      </w:pPr>
      <w:r>
        <w:rPr>
          <w:rFonts w:ascii="Times New Roman" w:hAnsi="Times New Roman" w:eastAsia="Times New Roman" w:cs="Times New Roman"/>
          <w:sz w:val="28"/>
          <w:szCs w:val="28"/>
          <w:b/>
          <w:u w:val=""/>
        </w:rPr>
        <w:t xml:space="preserve">расчет выполняется в текущих ценах </w:t>
      </w:r>
      <w:r>
        <w:rPr>
          <w:rFonts w:ascii="Times New Roman" w:hAnsi="Times New Roman" w:eastAsia="Times New Roman" w:cs="Times New Roman"/>
          <w:sz w:val="28"/>
          <w:szCs w:val="28"/>
          <w:u w:val=""/>
        </w:rPr>
        <w:t xml:space="preserve">с учетом прогнозируемой инфляции или другого индекса роста цен/тарифов;</w:t>
      </w:r>
    </w:p>
    <w:p>
      <w:pPr>
        <w:jc w:val="both"/>
        <w:ind w:left="304"/>
        <w:spacing w:before="0" w:after="0" w:line="288" w:lineRule="auto"/>
        <w:numPr>
          <w:ilvl w:val="0"/>
          <w:numId w:val="73"/>
        </w:numPr>
        <w:rPr>
          <w:sz w:val="28"/>
          <w:szCs w:val="28"/>
          <w:u w:val=""/>
        </w:rPr>
      </w:pPr>
      <w:r>
        <w:rPr>
          <w:rFonts w:ascii="Times New Roman" w:hAnsi="Times New Roman" w:eastAsia="Times New Roman" w:cs="Times New Roman"/>
          <w:sz w:val="28"/>
          <w:szCs w:val="28"/>
          <w:u w:val=""/>
        </w:rPr>
        <w:t xml:space="preserve">на период, превышающий срок окупаемости проекта и возврата заемных средств на один год;</w:t>
      </w:r>
    </w:p>
    <w:p>
      <w:pPr>
        <w:jc w:val="both"/>
        <w:ind w:left="304"/>
        <w:spacing w:before="0" w:after="0" w:line="288" w:lineRule="auto"/>
        <w:numPr>
          <w:ilvl w:val="0"/>
          <w:numId w:val="73"/>
        </w:numPr>
        <w:rPr>
          <w:sz w:val="28"/>
          <w:szCs w:val="28"/>
          <w:u w:val=""/>
        </w:rPr>
      </w:pPr>
      <w:r>
        <w:rPr>
          <w:rFonts w:ascii="Times New Roman" w:hAnsi="Times New Roman" w:eastAsia="Times New Roman" w:cs="Times New Roman"/>
          <w:sz w:val="28"/>
          <w:szCs w:val="28"/>
          <w:u w:val=""/>
        </w:rPr>
        <w:t xml:space="preserve">на этапе осуществления инвестиций и освоения производственных мощностей (выхода на проектную мощность) расчеты производятся </w:t>
      </w:r>
      <w:r>
        <w:br/>
      </w:r>
      <w:r>
        <w:rPr>
          <w:rFonts w:ascii="Times New Roman" w:hAnsi="Times New Roman" w:eastAsia="Times New Roman" w:cs="Times New Roman"/>
          <w:sz w:val="28"/>
          <w:szCs w:val="28"/>
          <w:u w:val=""/>
        </w:rPr>
        <w:t xml:space="preserve">с поквартальной периодичностью, далее по годам, при условии отсутствия ярко выраженной сезонности;</w:t>
      </w:r>
    </w:p>
    <w:p>
      <w:pPr>
        <w:jc w:val="both"/>
        <w:ind w:left="304"/>
        <w:spacing w:before="0" w:after="0" w:line="288" w:lineRule="auto"/>
        <w:numPr>
          <w:ilvl w:val="0"/>
          <w:numId w:val="73"/>
        </w:numPr>
        <w:rPr>
          <w:sz w:val="28"/>
          <w:szCs w:val="28"/>
          <w:u w:val=""/>
        </w:rPr>
      </w:pPr>
      <w:r>
        <w:rPr>
          <w:rFonts w:ascii="Times New Roman" w:hAnsi="Times New Roman" w:eastAsia="Times New Roman" w:cs="Times New Roman"/>
          <w:sz w:val="28"/>
          <w:szCs w:val="28"/>
          <w:u w:val=""/>
        </w:rPr>
        <w:t xml:space="preserve">значения всех исходных и расчетных данных приводятся в валюте рублях, при этом если исходные данные выражены в валюте, то они пересчитываются в рубли по единому курсу Центрального банка Российской Федерации на момент выполнения расчетов (указать дату и курс);</w:t>
      </w:r>
    </w:p>
    <w:p>
      <w:pPr>
        <w:jc w:val="both"/>
        <w:ind w:left="304"/>
        <w:spacing w:before="0" w:after="0" w:line="288" w:lineRule="auto"/>
        <w:numPr>
          <w:ilvl w:val="0"/>
          <w:numId w:val="73"/>
        </w:numPr>
        <w:rPr>
          <w:sz w:val="28"/>
          <w:szCs w:val="28"/>
          <w:u w:val=""/>
        </w:rPr>
      </w:pPr>
      <w:r>
        <w:rPr>
          <w:rFonts w:ascii="Times New Roman" w:hAnsi="Times New Roman" w:eastAsia="Times New Roman" w:cs="Times New Roman"/>
          <w:sz w:val="28"/>
          <w:szCs w:val="28"/>
          <w:u w:val=""/>
        </w:rPr>
        <w:t xml:space="preserve">остаточная стоимость активов проекта на конец расчетного периода </w:t>
      </w:r>
      <w:r>
        <w:br/>
      </w:r>
      <w:r>
        <w:rPr>
          <w:rFonts w:ascii="Times New Roman" w:hAnsi="Times New Roman" w:eastAsia="Times New Roman" w:cs="Times New Roman"/>
          <w:sz w:val="28"/>
          <w:szCs w:val="28"/>
          <w:u w:val=""/>
        </w:rPr>
        <w:t xml:space="preserve">не учитывается при анализе показателей его эффективности (не предполагается их продажа и закрытие предприятия).</w:t>
      </w:r>
    </w:p>
    <w:p>
      <w:pPr>
        <w:jc w:val="both"/>
        <w:ind/>
        <w:spacing w:before="0" w:after="0" w:line="288" w:lineRule="auto"/>
      </w:pPr>
      <w:r>
        <w:rPr>
          <w:rFonts w:ascii="Times New Roman" w:hAnsi="Times New Roman" w:eastAsia="Times New Roman" w:cs="Times New Roman"/>
          <w:sz w:val="28"/>
          <w:szCs w:val="28"/>
          <w:b/>
          <w:u w:val=""/>
        </w:rPr>
        <w:t xml:space="preserve">Расчеты экономической эффективности проекта </w:t>
      </w:r>
      <w:r>
        <w:rPr>
          <w:rFonts w:ascii="Times New Roman" w:hAnsi="Times New Roman" w:eastAsia="Times New Roman" w:cs="Times New Roman"/>
          <w:sz w:val="28"/>
          <w:szCs w:val="28"/>
          <w:u w:val=""/>
        </w:rPr>
        <w:t xml:space="preserve">выполняются </w:t>
      </w:r>
      <w:r>
        <w:br/>
      </w:r>
      <w:r>
        <w:rPr>
          <w:rFonts w:ascii="Times New Roman" w:hAnsi="Times New Roman" w:eastAsia="Times New Roman" w:cs="Times New Roman"/>
          <w:sz w:val="28"/>
          <w:szCs w:val="28"/>
          <w:u w:val=""/>
        </w:rPr>
        <w:t xml:space="preserve">с учетом официального издания Методических рекомендаций по оценке эффективности инвестиционных проектов, утвержденные Министерством экономического развития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21.06.1999 </w:t>
      </w:r>
      <w:r>
        <w:br/>
      </w:r>
      <w:r>
        <w:rPr>
          <w:rFonts w:ascii="Times New Roman" w:hAnsi="Times New Roman" w:eastAsia="Times New Roman" w:cs="Times New Roman"/>
          <w:sz w:val="28"/>
          <w:szCs w:val="28"/>
          <w:u w:val=""/>
        </w:rPr>
        <w:t xml:space="preserve">№ ВК 477), вторая редакция, рук. авт. кол.: Коссов В.В., Лившиц В.Н., Шахназаров А.Г. - М.: ОАО «НПО «Издательство «Экономика», 2000. – 421 с. Электронная версия данного документа приведена в базе «Консультант Плюс» </w:t>
      </w:r>
      <w:r>
        <w:br/>
      </w:r>
      <w:r>
        <w:rPr>
          <w:rFonts w:ascii="Times New Roman" w:hAnsi="Times New Roman" w:eastAsia="Times New Roman" w:cs="Times New Roman"/>
          <w:sz w:val="28"/>
          <w:szCs w:val="28"/>
          <w:u w:val=""/>
        </w:rPr>
        <w:t xml:space="preserve">под приведенным выше номером.</w:t>
      </w:r>
    </w:p>
    <w:p>
      <w:pPr>
        <w:jc w:val="both"/>
        <w:ind/>
        <w:spacing w:before="0" w:after="0" w:line="288" w:lineRule="auto"/>
      </w:pPr>
      <w:r>
        <w:rPr>
          <w:rFonts w:ascii="Times New Roman" w:hAnsi="Times New Roman" w:eastAsia="Times New Roman" w:cs="Times New Roman"/>
          <w:sz w:val="28"/>
          <w:szCs w:val="28"/>
          <w:u w:val=""/>
        </w:rPr>
        <w:t xml:space="preserve">В связи с этим в настоящем макете бизнес-плана не приводится полная методика расчетов и формы расчетных таблиц.</w:t>
      </w:r>
    </w:p>
    <w:p>
      <w:pPr>
        <w:jc w:val="both"/>
        <w:ind w:left="192"/>
        <w:spacing w:before="0" w:after="0" w:line="288" w:lineRule="auto"/>
        <w:numPr>
          <w:ilvl w:val="1"/>
          <w:numId w:val="75"/>
        </w:numPr>
        <w:rPr>
          <w:sz w:val="28"/>
          <w:szCs w:val="28"/>
          <w:u w:val=""/>
        </w:rPr>
      </w:pPr>
      <w:r>
        <w:rPr>
          <w:rFonts w:ascii="Times New Roman" w:hAnsi="Times New Roman" w:eastAsia="Times New Roman" w:cs="Times New Roman"/>
          <w:sz w:val="28"/>
          <w:szCs w:val="28"/>
          <w:b/>
          <w:u w:val=""/>
        </w:rPr>
        <w:t xml:space="preserve">Исходные данные</w:t>
      </w:r>
    </w:p>
    <w:p>
      <w:pPr>
        <w:jc w:val="both"/>
        <w:ind/>
        <w:spacing w:before="0" w:after="0" w:line="288" w:lineRule="auto"/>
      </w:pPr>
      <w:r>
        <w:rPr>
          <w:rFonts w:ascii="Times New Roman" w:hAnsi="Times New Roman" w:eastAsia="Times New Roman" w:cs="Times New Roman"/>
          <w:sz w:val="28"/>
          <w:szCs w:val="28"/>
          <w:u w:val=""/>
        </w:rPr>
        <w:t xml:space="preserve">Формы исходных данных (обязательны для заполнения) предназначены </w:t>
      </w:r>
      <w:r>
        <w:br/>
      </w:r>
      <w:r>
        <w:rPr>
          <w:rFonts w:ascii="Times New Roman" w:hAnsi="Times New Roman" w:eastAsia="Times New Roman" w:cs="Times New Roman"/>
          <w:sz w:val="28"/>
          <w:szCs w:val="28"/>
          <w:u w:val=""/>
        </w:rPr>
        <w:t xml:space="preserve">для сбора и структуризации информации, необходимой для выполнения финансово-экономической оценки проекта и его коммерческой состоятельности.</w:t>
      </w:r>
    </w:p>
    <w:p>
      <w:pPr>
        <w:jc w:val="both"/>
        <w:ind/>
        <w:spacing w:before="0" w:after="0" w:line="288" w:lineRule="auto"/>
      </w:pPr>
      <w:r>
        <w:rPr>
          <w:rFonts w:ascii="Times New Roman" w:hAnsi="Times New Roman" w:eastAsia="Times New Roman" w:cs="Times New Roman"/>
          <w:sz w:val="28"/>
          <w:szCs w:val="28"/>
          <w:u w:val=""/>
        </w:rPr>
        <w:t xml:space="preserve">Данные могут быть получены из различных источников (отчет </w:t>
      </w:r>
      <w:r>
        <w:br/>
      </w:r>
      <w:r>
        <w:rPr>
          <w:rFonts w:ascii="Times New Roman" w:hAnsi="Times New Roman" w:eastAsia="Times New Roman" w:cs="Times New Roman"/>
          <w:sz w:val="28"/>
          <w:szCs w:val="28"/>
          <w:u w:val=""/>
        </w:rPr>
        <w:t xml:space="preserve">об исследовании рынка, коммерческие предложения, технический проект </w:t>
      </w:r>
      <w:r>
        <w:br/>
      </w:r>
      <w:r>
        <w:rPr>
          <w:rFonts w:ascii="Times New Roman" w:hAnsi="Times New Roman" w:eastAsia="Times New Roman" w:cs="Times New Roman"/>
          <w:sz w:val="28"/>
          <w:szCs w:val="28"/>
          <w:u w:val=""/>
        </w:rPr>
        <w:t xml:space="preserve">и пр.), должны корреспондироваться с соответствующими разделами бизнес-плана и документами, приводимыми в Приложениях к нему.</w:t>
      </w:r>
    </w:p>
    <w:p>
      <w:pPr>
        <w:jc w:val="both"/>
        <w:ind/>
        <w:spacing w:before="0" w:after="0" w:line="288" w:lineRule="auto"/>
      </w:pPr>
      <w:r>
        <w:rPr>
          <w:rFonts w:ascii="Times New Roman" w:hAnsi="Times New Roman" w:eastAsia="Times New Roman" w:cs="Times New Roman"/>
          <w:sz w:val="28"/>
          <w:szCs w:val="28"/>
          <w:u w:val=""/>
        </w:rPr>
        <w:t xml:space="preserve">Вся исходная информация подвергается экспертизе и при выявлении серьезных несоответствий АО «КАВКАЗ.РФ» может прекратить работу по проекту.</w:t>
      </w:r>
    </w:p>
    <w:p>
      <w:pPr>
        <w:jc w:val="both"/>
        <w:ind w:left="192"/>
        <w:spacing w:before="0" w:after="0" w:line="288" w:lineRule="auto"/>
        <w:numPr>
          <w:ilvl w:val="2"/>
          <w:numId w:val="78"/>
        </w:numPr>
        <w:rPr>
          <w:sz w:val="28"/>
          <w:szCs w:val="28"/>
          <w:u w:val=""/>
        </w:rPr>
      </w:pPr>
      <w:r>
        <w:rPr>
          <w:rFonts w:ascii="Times New Roman" w:hAnsi="Times New Roman" w:eastAsia="Times New Roman" w:cs="Times New Roman"/>
          <w:sz w:val="28"/>
          <w:szCs w:val="28"/>
          <w:b/>
          <w:u w:val=""/>
        </w:rPr>
        <w:t xml:space="preserve">Налоговое окружение</w:t>
      </w:r>
    </w:p>
    <w:tbl>
      <w:tblGrid>
        <w:gridCol w:w="4665" w:type="dxa"/>
        <w:gridCol w:w="1275" w:type="dxa"/>
        <w:gridCol w:w="1410" w:type="dxa"/>
        <w:gridCol w:w="1290" w:type="dxa"/>
        <w:gridCol w:w="1275" w:type="dxa"/>
      </w:tblGrid>
      <w:tblPr>
        <w:tblW w:w="9915" w:type="dxa"/>
        <w:tblBorders>
          <w:top w:val="" w:sz="6" w:color="999999"/>
          <w:left w:val="" w:sz="6" w:color="999999"/>
          <w:right w:val="" w:sz="6" w:color="999999"/>
          <w:bottom w:val="" w:sz="6" w:color="999999"/>
          <w:insideH w:val="" w:sz="6" w:color="999999"/>
          <w:insideV w:val="" w:sz="6" w:color="999999"/>
        </w:tblBorders>
        <w:tblInd w:w="" w:type="dxa"/>
      </w:tblPr>
      <w:tr>
        <w:trPr>
          <w:trHeight w:val="600" w:hRule="atLeast"/>
        </w:trPr>
        <w:tc>
          <w:tcPr>
            <w:tcW w:w="4665" w:type="dxa"/>
            <w:vAlign w:val="center"/>
            <w:tcBorders>
              <w:top w:val="single" w:sz="8" w:color="000000"/>
              <w:left w:val="single" w:sz="8" w:color="000000"/>
              <w:right w:val="single" w:sz="8" w:color="000000"/>
              <w:bottom w:val="single" w:sz="8" w:color="000000"/>
            </w:tcBorders>
            <w:shd w:val="clear" w:color="auto" w:fill="auto"/>
          </w:tcPr>
          <w:p>
            <w:pPr>
              <w:jc w:val="center"/>
              <w:ind w:left="72"/>
              <w:spacing w:before="0" w:after="0" w:line="331.2" w:lineRule="auto"/>
            </w:pPr>
            <w:r>
              <w:rPr>
                <w:rFonts w:ascii="Times New Roman" w:hAnsi="Times New Roman" w:eastAsia="Times New Roman" w:cs="Times New Roman"/>
                <w:sz w:val="24"/>
                <w:szCs w:val="24"/>
                <w:u w:val=""/>
              </w:rPr>
              <w:t xml:space="preserve">Наименование налогов, уплачиваемых предприятием, осуществляющим инвестиционный проект</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center"/>
              <w:ind w:left="32"/>
              <w:spacing w:before="0" w:after="0" w:line="331.2" w:lineRule="auto"/>
            </w:pPr>
            <w:r>
              <w:rPr>
                <w:rFonts w:ascii="Times New Roman" w:hAnsi="Times New Roman" w:eastAsia="Times New Roman" w:cs="Times New Roman"/>
                <w:sz w:val="24"/>
                <w:szCs w:val="24"/>
                <w:u w:val=""/>
              </w:rPr>
              <w:t xml:space="preserve">Ставка </w:t>
            </w:r>
            <w:r>
              <w:br/>
            </w:r>
            <w:r>
              <w:rPr>
                <w:rFonts w:ascii="Times New Roman" w:hAnsi="Times New Roman" w:eastAsia="Times New Roman" w:cs="Times New Roman"/>
                <w:sz w:val="24"/>
                <w:szCs w:val="24"/>
                <w:u w:val=""/>
              </w:rPr>
              <w:t xml:space="preserve">(или сумма)</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Налогообла- гаемая база</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Период начис ления (дней)</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Льготы</w:t>
            </w:r>
          </w:p>
          <w:p>
            <w:pPr>
              <w:jc w:val="center"/>
              <w:ind/>
              <w:spacing w:before="0" w:after="0" w:line="331.2" w:lineRule="auto"/>
            </w:pPr>
            <w:r>
              <w:rPr>
                <w:rFonts w:ascii="Times New Roman" w:hAnsi="Times New Roman" w:eastAsia="Times New Roman" w:cs="Times New Roman"/>
                <w:sz w:val="24"/>
                <w:szCs w:val="24"/>
                <w:u w:val=""/>
              </w:rPr>
              <w:t xml:space="preserve">(основа ние)</w:t>
            </w:r>
          </w:p>
        </w:tc>
      </w:tr>
      <w:tr>
        <w:trPr>
          <w:trHeight w:val="180" w:hRule="atLeast"/>
        </w:trPr>
        <w:tc>
          <w:tcPr>
            <w:tcW w:w="4665" w:type="dxa"/>
            <w:vAlign w:val="center"/>
            <w:tcBorders>
              <w:top w:val="single" w:sz="8" w:color="000000"/>
              <w:left w:val="single" w:sz="8" w:color="000000"/>
              <w:right w:val="single" w:sz="8" w:color="000000"/>
              <w:bottom w:val="single" w:sz="8" w:color="000000"/>
            </w:tcBorders>
            <w:shd w:val="clear" w:color="auto" w:fill="auto"/>
          </w:tcPr>
          <w:p>
            <w:pPr>
              <w:jc w:val="left"/>
              <w:ind w:left="72"/>
              <w:spacing w:before="0" w:after="0" w:line="331.2" w:lineRule="auto"/>
            </w:pPr>
            <w:r>
              <w:rPr>
                <w:rFonts w:ascii="Times New Roman" w:hAnsi="Times New Roman" w:eastAsia="Times New Roman" w:cs="Times New Roman"/>
                <w:sz w:val="24"/>
                <w:szCs w:val="24"/>
                <w:u w:val=""/>
              </w:rPr>
              <w:t xml:space="preserve">Страховые взносы в ПФР, ФСС РФ и ФОМС</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4665" w:type="dxa"/>
            <w:vAlign w:val="center"/>
            <w:tcBorders>
              <w:top w:val="single" w:sz="8" w:color="000000"/>
              <w:left w:val="single" w:sz="8" w:color="000000"/>
              <w:right w:val="single" w:sz="8" w:color="000000"/>
              <w:bottom w:val="single" w:sz="8" w:color="000000"/>
            </w:tcBorders>
            <w:shd w:val="clear" w:color="auto" w:fill="auto"/>
          </w:tcPr>
          <w:p>
            <w:pPr>
              <w:jc w:val="left"/>
              <w:ind w:left="72"/>
              <w:spacing w:before="0" w:after="0" w:line="331.2" w:lineRule="auto"/>
            </w:pPr>
            <w:r>
              <w:rPr>
                <w:rFonts w:ascii="Times New Roman" w:hAnsi="Times New Roman" w:eastAsia="Times New Roman" w:cs="Times New Roman"/>
                <w:sz w:val="24"/>
                <w:szCs w:val="24"/>
                <w:u w:val=""/>
              </w:rPr>
              <w:t xml:space="preserve">Налог на добавленную стоимость</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4665" w:type="dxa"/>
            <w:vAlign w:val="center"/>
            <w:tcBorders>
              <w:top w:val="single" w:sz="8" w:color="000000"/>
              <w:left w:val="single" w:sz="8" w:color="000000"/>
              <w:right w:val="single" w:sz="8" w:color="000000"/>
              <w:bottom w:val="single" w:sz="8" w:color="000000"/>
            </w:tcBorders>
            <w:shd w:val="clear" w:color="auto" w:fill="auto"/>
          </w:tcPr>
          <w:p>
            <w:pPr>
              <w:jc w:val="left"/>
              <w:ind w:left="72"/>
              <w:spacing w:before="0" w:after="0" w:line="331.2" w:lineRule="auto"/>
            </w:pPr>
            <w:r>
              <w:rPr>
                <w:rFonts w:ascii="Times New Roman" w:hAnsi="Times New Roman" w:eastAsia="Times New Roman" w:cs="Times New Roman"/>
                <w:sz w:val="24"/>
                <w:szCs w:val="24"/>
                <w:u w:val=""/>
              </w:rPr>
              <w:t xml:space="preserve">Налог на имущество</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4665" w:type="dxa"/>
            <w:vAlign w:val="center"/>
            <w:tcBorders>
              <w:top w:val="single" w:sz="8" w:color="000000"/>
              <w:left w:val="single" w:sz="8" w:color="000000"/>
              <w:right w:val="single" w:sz="8" w:color="000000"/>
              <w:bottom w:val="single" w:sz="8" w:color="000000"/>
            </w:tcBorders>
            <w:shd w:val="clear" w:color="auto" w:fill="auto"/>
          </w:tcPr>
          <w:p>
            <w:pPr>
              <w:jc w:val="left"/>
              <w:ind w:left="72"/>
              <w:spacing w:before="0" w:after="0" w:line="331.2" w:lineRule="auto"/>
            </w:pPr>
            <w:r>
              <w:rPr>
                <w:rFonts w:ascii="Times New Roman" w:hAnsi="Times New Roman" w:eastAsia="Times New Roman" w:cs="Times New Roman"/>
                <w:sz w:val="24"/>
                <w:szCs w:val="24"/>
                <w:u w:val=""/>
              </w:rPr>
              <w:t xml:space="preserve">Налог на прибыль</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4665" w:type="dxa"/>
            <w:vAlign w:val="center"/>
            <w:tcBorders>
              <w:top w:val="single" w:sz="8" w:color="000000"/>
              <w:left w:val="single" w:sz="8" w:color="000000"/>
              <w:right w:val="single" w:sz="8" w:color="000000"/>
              <w:bottom w:val="single" w:sz="8" w:color="000000"/>
            </w:tcBorders>
            <w:shd w:val="clear" w:color="auto" w:fill="auto"/>
          </w:tcPr>
          <w:p>
            <w:pPr>
              <w:jc w:val="left"/>
              <w:ind w:left="72"/>
              <w:spacing w:before="0" w:after="0" w:line="331.2" w:lineRule="auto"/>
            </w:pPr>
            <w:r>
              <w:rPr>
                <w:rFonts w:ascii="Times New Roman" w:hAnsi="Times New Roman" w:eastAsia="Times New Roman" w:cs="Times New Roman"/>
                <w:sz w:val="24"/>
                <w:szCs w:val="24"/>
                <w:u w:val=""/>
              </w:rPr>
              <w:t xml:space="preserve">Другие налоги (расшифровать)</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360" w:hRule="atLeast"/>
        </w:trPr>
        <w:tc>
          <w:tcPr>
            <w:tcW w:w="4665" w:type="dxa"/>
            <w:vAlign w:val="center"/>
            <w:tcBorders>
              <w:top w:val="single" w:sz="8" w:color="000000"/>
              <w:left w:val="single" w:sz="8" w:color="000000"/>
              <w:right w:val="single" w:sz="8" w:color="000000"/>
              <w:bottom w:val="single" w:sz="8" w:color="000000"/>
            </w:tcBorders>
            <w:shd w:val="clear" w:color="auto" w:fill="auto"/>
          </w:tcPr>
          <w:p>
            <w:pPr>
              <w:jc w:val="left"/>
              <w:ind w:left="72"/>
              <w:spacing w:before="0" w:after="0" w:line="331.2" w:lineRule="auto"/>
            </w:pPr>
            <w:r>
              <w:rPr>
                <w:rFonts w:ascii="Times New Roman" w:hAnsi="Times New Roman" w:eastAsia="Times New Roman" w:cs="Times New Roman"/>
                <w:sz w:val="24"/>
                <w:szCs w:val="24"/>
                <w:u w:val=""/>
              </w:rPr>
              <w:t xml:space="preserve">Акцизы на сырье и готовую продукцию (с расшифровкой номенклатуры)</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705" w:hRule="atLeast"/>
        </w:trPr>
        <w:tc>
          <w:tcPr>
            <w:tcW w:w="4665" w:type="dxa"/>
            <w:vAlign w:val="center"/>
            <w:tcBorders>
              <w:top w:val="single" w:sz="8" w:color="000000"/>
              <w:left w:val="single" w:sz="8" w:color="000000"/>
              <w:right w:val="single" w:sz="8" w:color="000000"/>
              <w:bottom w:val="single" w:sz="8" w:color="000000"/>
            </w:tcBorders>
            <w:shd w:val="clear" w:color="auto" w:fill="auto"/>
          </w:tcPr>
          <w:p>
            <w:pPr>
              <w:jc w:val="left"/>
              <w:ind w:left="72"/>
              <w:spacing w:before="0" w:after="0" w:line="331.2" w:lineRule="auto"/>
            </w:pPr>
            <w:r>
              <w:rPr>
                <w:rFonts w:ascii="Times New Roman" w:hAnsi="Times New Roman" w:eastAsia="Times New Roman" w:cs="Times New Roman"/>
                <w:sz w:val="24"/>
                <w:szCs w:val="24"/>
                <w:u w:val=""/>
              </w:rPr>
              <w:t xml:space="preserve">Таможенные пошлины на оборудование, сырье, материалы, комплектующие и готовую продукцию (с расшифровкой номенклатуры и кодом ТН ВЭД)</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4665" w:type="dxa"/>
            <w:vAlign w:val="center"/>
            <w:tcBorders>
              <w:top w:val="single" w:sz="8" w:color="000000"/>
              <w:left w:val="single" w:sz="8" w:color="000000"/>
              <w:right w:val="single" w:sz="8" w:color="000000"/>
              <w:bottom w:val="single" w:sz="8" w:color="000000"/>
            </w:tcBorders>
            <w:shd w:val="clear" w:color="auto" w:fill="auto"/>
          </w:tcPr>
          <w:p>
            <w:pPr>
              <w:jc w:val="left"/>
              <w:ind w:left="72"/>
              <w:spacing w:before="0" w:after="0" w:line="331.2" w:lineRule="auto"/>
            </w:pPr>
            <w:r>
              <w:rPr>
                <w:rFonts w:ascii="Times New Roman" w:hAnsi="Times New Roman" w:eastAsia="Times New Roman" w:cs="Times New Roman"/>
                <w:sz w:val="24"/>
                <w:szCs w:val="24"/>
                <w:u w:val=""/>
              </w:rPr>
              <w:t xml:space="preserve">Местные налоги (расшифровать)</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360" w:hRule="atLeast"/>
        </w:trPr>
        <w:tc>
          <w:tcPr>
            <w:tcW w:w="4665" w:type="dxa"/>
            <w:vAlign w:val="center"/>
            <w:tcBorders>
              <w:top w:val="single" w:sz="8" w:color="000000"/>
              <w:left w:val="single" w:sz="8" w:color="000000"/>
              <w:right w:val="single" w:sz="8" w:color="000000"/>
              <w:bottom w:val="single" w:sz="8" w:color="000000"/>
            </w:tcBorders>
            <w:shd w:val="clear" w:color="auto" w:fill="auto"/>
          </w:tcPr>
          <w:p>
            <w:pPr>
              <w:jc w:val="left"/>
              <w:ind w:left="72"/>
              <w:spacing w:before="0" w:after="0" w:line="331.2" w:lineRule="auto"/>
            </w:pPr>
            <w:r>
              <w:rPr>
                <w:rFonts w:ascii="Times New Roman" w:hAnsi="Times New Roman" w:eastAsia="Times New Roman" w:cs="Times New Roman"/>
                <w:sz w:val="24"/>
                <w:szCs w:val="24"/>
                <w:u w:val=""/>
              </w:rPr>
              <w:t xml:space="preserve">Нормативы затрат    по отнесению </w:t>
            </w:r>
            <w:r>
              <w:br/>
            </w:r>
            <w:r>
              <w:rPr>
                <w:rFonts w:ascii="Times New Roman" w:hAnsi="Times New Roman" w:eastAsia="Times New Roman" w:cs="Times New Roman"/>
                <w:sz w:val="24"/>
                <w:szCs w:val="24"/>
                <w:u w:val=""/>
              </w:rPr>
              <w:t xml:space="preserve">на себестоимость:</w:t>
            </w:r>
          </w:p>
        </w:tc>
        <w:tc>
          <w:tcPr>
            <w:tcW w:w="5250" w:type="dxa"/>
            <w:vAlign w:val="center"/>
            <w:tcBorders>
              <w:top w:val="single" w:sz="8" w:color="000000"/>
              <w:left w:val="single" w:sz="8" w:color="000000"/>
              <w:right w:val="single" w:sz="8" w:color="000000"/>
              <w:bottom w:val="single" w:sz="8" w:color="000000"/>
            </w:tcBorders>
            <w:shd w:val="clear" w:color="auto" w:fill="auto"/>
            <w:gridSpan w:val="4"/>
          </w:tcPr>
          <w:p>
            <w:pPr>
              <w:jc w:val="left"/>
              <w:ind/>
              <w:spacing w:before="0" w:after="0" w:line="432" w:lineRule="auto"/>
            </w:pPr>
            <w:r>
              <w:rPr>
                <w:sz w:val="24"/>
                <w:szCs w:val="24"/>
                <w:u w:val=""/>
              </w:rPr>
              <w:t xml:space="preserve"> </w:t>
            </w:r>
          </w:p>
        </w:tc>
      </w:tr>
      <w:tr>
        <w:trPr>
          <w:trHeight w:val="180" w:hRule="atLeast"/>
        </w:trPr>
        <w:tc>
          <w:tcPr>
            <w:tcW w:w="4665" w:type="dxa"/>
            <w:vAlign w:val="center"/>
            <w:tcBorders>
              <w:top w:val="single" w:sz="8" w:color="000000"/>
              <w:left w:val="single" w:sz="8" w:color="000000"/>
              <w:right w:val="single" w:sz="8" w:color="000000"/>
              <w:bottom w:val="single" w:sz="8" w:color="000000"/>
            </w:tcBorders>
            <w:shd w:val="clear" w:color="auto" w:fill="auto"/>
          </w:tcPr>
          <w:p>
            <w:pPr>
              <w:jc w:val="left"/>
              <w:ind w:left="72"/>
              <w:spacing w:before="0" w:after="0" w:line="331.2" w:lineRule="auto"/>
            </w:pPr>
            <w:r>
              <w:rPr>
                <w:rFonts w:ascii="Times New Roman" w:hAnsi="Times New Roman" w:eastAsia="Times New Roman" w:cs="Times New Roman"/>
                <w:sz w:val="24"/>
                <w:szCs w:val="24"/>
                <w:u w:val=""/>
              </w:rPr>
              <w:t xml:space="preserve">Страховые платежи</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360" w:hRule="atLeast"/>
        </w:trPr>
        <w:tc>
          <w:tcPr>
            <w:tcW w:w="4665" w:type="dxa"/>
            <w:vAlign w:val="center"/>
            <w:tcBorders>
              <w:top w:val="single" w:sz="8" w:color="000000"/>
              <w:left w:val="single" w:sz="8" w:color="000000"/>
              <w:right w:val="single" w:sz="8" w:color="000000"/>
              <w:bottom w:val="single" w:sz="8" w:color="000000"/>
            </w:tcBorders>
            <w:shd w:val="clear" w:color="auto" w:fill="auto"/>
          </w:tcPr>
          <w:p>
            <w:pPr>
              <w:jc w:val="left"/>
              <w:ind w:left="72"/>
              <w:spacing w:before="0" w:after="0" w:line="331.2" w:lineRule="auto"/>
            </w:pPr>
            <w:r>
              <w:rPr>
                <w:rFonts w:ascii="Times New Roman" w:hAnsi="Times New Roman" w:eastAsia="Times New Roman" w:cs="Times New Roman"/>
                <w:sz w:val="24"/>
                <w:szCs w:val="24"/>
                <w:u w:val=""/>
              </w:rPr>
              <w:t xml:space="preserve">Проценты по краткосрочным кредитам в рублях</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360" w:hRule="atLeast"/>
        </w:trPr>
        <w:tc>
          <w:tcPr>
            <w:tcW w:w="4665" w:type="dxa"/>
            <w:vAlign w:val="center"/>
            <w:tcBorders>
              <w:top w:val="single" w:sz="8" w:color="000000"/>
              <w:left w:val="single" w:sz="8" w:color="000000"/>
              <w:right w:val="single" w:sz="8" w:color="000000"/>
              <w:bottom w:val="single" w:sz="8" w:color="000000"/>
            </w:tcBorders>
            <w:shd w:val="clear" w:color="auto" w:fill="auto"/>
          </w:tcPr>
          <w:p>
            <w:pPr>
              <w:jc w:val="left"/>
              <w:ind w:left="72"/>
              <w:spacing w:before="0" w:after="0" w:line="331.2" w:lineRule="auto"/>
            </w:pPr>
            <w:r>
              <w:rPr>
                <w:rFonts w:ascii="Times New Roman" w:hAnsi="Times New Roman" w:eastAsia="Times New Roman" w:cs="Times New Roman"/>
                <w:sz w:val="24"/>
                <w:szCs w:val="24"/>
                <w:u w:val=""/>
              </w:rPr>
              <w:t xml:space="preserve">Проценты по краткосрочным</w:t>
            </w:r>
          </w:p>
          <w:p>
            <w:pPr>
              <w:jc w:val="left"/>
              <w:ind w:left="72"/>
              <w:spacing w:before="0" w:after="0" w:line="331.2" w:lineRule="auto"/>
            </w:pPr>
            <w:r>
              <w:rPr>
                <w:rFonts w:ascii="Times New Roman" w:hAnsi="Times New Roman" w:eastAsia="Times New Roman" w:cs="Times New Roman"/>
                <w:sz w:val="24"/>
                <w:szCs w:val="24"/>
                <w:u w:val=""/>
              </w:rPr>
              <w:t xml:space="preserve">кредитам в иностранной валюте</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bl>
    <w:p>
      <w:pPr>
        <w:jc w:val="both"/>
        <w:ind/>
        <w:spacing w:before="0" w:after="0" w:line="288" w:lineRule="auto"/>
      </w:pPr>
      <w:r>
        <w:rPr>
          <w:rFonts w:ascii="Times New Roman" w:hAnsi="Times New Roman" w:eastAsia="Times New Roman" w:cs="Times New Roman"/>
          <w:sz w:val="28"/>
          <w:szCs w:val="28"/>
          <w:u w:val=""/>
        </w:rPr>
        <w:t xml:space="preserve">Приведенный в таблице перечень налогов должен быть уточнен </w:t>
      </w:r>
      <w:r>
        <w:br/>
      </w:r>
      <w:r>
        <w:rPr>
          <w:rFonts w:ascii="Times New Roman" w:hAnsi="Times New Roman" w:eastAsia="Times New Roman" w:cs="Times New Roman"/>
          <w:sz w:val="28"/>
          <w:szCs w:val="28"/>
          <w:u w:val=""/>
        </w:rPr>
        <w:t xml:space="preserve">и расширен с учетом местных или отраслевых особенностей налогообложения проекта (предприятия).</w:t>
      </w:r>
    </w:p>
    <w:p>
      <w:pPr>
        <w:jc w:val="both"/>
        <w:ind/>
        <w:spacing w:before="0" w:after="0" w:line="288" w:lineRule="auto"/>
      </w:pPr>
      <w:r>
        <w:rPr>
          <w:rFonts w:ascii="Times New Roman" w:hAnsi="Times New Roman" w:eastAsia="Times New Roman" w:cs="Times New Roman"/>
          <w:sz w:val="28"/>
          <w:szCs w:val="28"/>
          <w:u w:val=""/>
        </w:rPr>
        <w:t xml:space="preserve">При указании таможенных пошлин на оборудование, сырье, материалы, комплектующие или готовую продукцию привести соответствующий код </w:t>
      </w:r>
      <w:r>
        <w:br/>
      </w:r>
      <w:r>
        <w:rPr>
          <w:rFonts w:ascii="Times New Roman" w:hAnsi="Times New Roman" w:eastAsia="Times New Roman" w:cs="Times New Roman"/>
          <w:sz w:val="28"/>
          <w:szCs w:val="28"/>
          <w:u w:val=""/>
        </w:rPr>
        <w:t xml:space="preserve">ТН ВЭД.</w:t>
      </w:r>
    </w:p>
    <w:p>
      <w:pPr>
        <w:jc w:val="both"/>
        <w:ind/>
        <w:spacing w:before="0" w:after="0" w:line="288" w:lineRule="auto"/>
      </w:pPr>
      <w:r>
        <w:rPr>
          <w:rFonts w:ascii="Times New Roman" w:hAnsi="Times New Roman" w:eastAsia="Times New Roman" w:cs="Times New Roman"/>
          <w:sz w:val="28"/>
          <w:szCs w:val="28"/>
          <w:u w:val=""/>
        </w:rPr>
        <w:t xml:space="preserve">Должны быть описаны существующие льготы по уплате того или иного налога (особенности исчисления).</w:t>
      </w:r>
    </w:p>
    <w:p>
      <w:pPr>
        <w:jc w:val="left"/>
        <w:ind w:left="192"/>
        <w:spacing w:before="0" w:after="0" w:line="288" w:lineRule="auto"/>
        <w:numPr>
          <w:ilvl w:val="2"/>
          <w:numId w:val="81"/>
        </w:numPr>
        <w:rPr>
          <w:sz w:val="28"/>
          <w:szCs w:val="28"/>
          <w:u w:val=""/>
        </w:rPr>
      </w:pPr>
      <w:r>
        <w:rPr>
          <w:rFonts w:ascii="Times New Roman" w:hAnsi="Times New Roman" w:eastAsia="Times New Roman" w:cs="Times New Roman"/>
          <w:sz w:val="28"/>
          <w:szCs w:val="28"/>
          <w:b/>
          <w:u w:val=""/>
        </w:rPr>
        <w:t xml:space="preserve">Номенклатура и цены продукции / услуг </w:t>
      </w:r>
      <w:r>
        <w:rPr>
          <w:rFonts w:ascii="Times New Roman" w:hAnsi="Times New Roman" w:eastAsia="Times New Roman" w:cs="Times New Roman"/>
          <w:sz w:val="28"/>
          <w:szCs w:val="28"/>
          <w:u w:val=""/>
        </w:rPr>
        <w:t xml:space="preserve">(в валюте платежа)</w:t>
      </w:r>
    </w:p>
    <w:tbl>
      <w:tblGrid>
        <w:gridCol w:w="420" w:type="dxa"/>
        <w:gridCol w:w="1695" w:type="dxa"/>
        <w:gridCol w:w="705" w:type="dxa"/>
        <w:gridCol w:w="2115" w:type="dxa"/>
        <w:gridCol w:w="990" w:type="dxa"/>
        <w:gridCol w:w="1125" w:type="dxa"/>
        <w:gridCol w:w="705" w:type="dxa"/>
        <w:gridCol w:w="2115" w:type="dxa"/>
      </w:tblGrid>
      <w:tblPr>
        <w:tblW w:w="9870" w:type="dxa"/>
        <w:tblBorders>
          <w:top w:val="" w:sz="6" w:color="999999"/>
          <w:left w:val="" w:sz="6" w:color="999999"/>
          <w:right w:val="" w:sz="6" w:color="999999"/>
          <w:bottom w:val="" w:sz="6" w:color="999999"/>
          <w:insideH w:val="" w:sz="6" w:color="999999"/>
          <w:insideV w:val="" w:sz="6" w:color="999999"/>
        </w:tblBorders>
        <w:tblInd w:w="" w:type="dxa"/>
      </w:tblPr>
      <w:tr>
        <w:trPr>
          <w:trHeight w:val="600" w:hRule="atLeast"/>
        </w:trPr>
        <w:tc>
          <w:tcPr>
            <w:tcW w:w="420"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center"/>
              <w:ind w:left="32"/>
              <w:spacing w:before="0" w:after="0" w:line="331.2" w:lineRule="auto"/>
            </w:pPr>
            <w:r>
              <w:rPr>
                <w:rFonts w:ascii="Times New Roman" w:hAnsi="Times New Roman" w:eastAsia="Times New Roman" w:cs="Times New Roman"/>
                <w:sz w:val="24"/>
                <w:szCs w:val="24"/>
                <w:u w:val=""/>
              </w:rPr>
              <w:t xml:space="preserve">Наименование продукции, услуг</w:t>
            </w:r>
          </w:p>
        </w:tc>
        <w:tc>
          <w:tcPr>
            <w:tcW w:w="70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Ед. изм.</w:t>
            </w:r>
          </w:p>
        </w:tc>
        <w:tc>
          <w:tcPr>
            <w:tcW w:w="2115"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Цена без НДС, акциза, таможенной</w:t>
            </w:r>
          </w:p>
          <w:p>
            <w:pPr>
              <w:jc w:val="center"/>
              <w:ind w:left="-16"/>
              <w:spacing w:before="0" w:after="0" w:line="331.2" w:lineRule="auto"/>
            </w:pPr>
            <w:r>
              <w:rPr>
                <w:rFonts w:ascii="Times New Roman" w:hAnsi="Times New Roman" w:eastAsia="Times New Roman" w:cs="Times New Roman"/>
                <w:sz w:val="24"/>
                <w:szCs w:val="24"/>
                <w:u w:val=""/>
              </w:rPr>
              <w:t xml:space="preserve">пошлины</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Акциз</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Таможен- ная пошлина</w:t>
            </w:r>
          </w:p>
        </w:tc>
        <w:tc>
          <w:tcPr>
            <w:tcW w:w="70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НДС</w:t>
            </w:r>
          </w:p>
        </w:tc>
        <w:tc>
          <w:tcPr>
            <w:tcW w:w="2115" w:type="dxa"/>
            <w:vAlign w:val="center"/>
            <w:tcBorders>
              <w:top w:val="single" w:sz="8" w:color="000000"/>
              <w:left w:val="single" w:sz="8" w:color="000000"/>
              <w:right w:val="single" w:sz="8" w:color="000000"/>
              <w:bottom w:val="single" w:sz="8" w:color="000000"/>
            </w:tcBorders>
            <w:shd w:val="clear" w:color="auto" w:fill="auto"/>
          </w:tcPr>
          <w:p>
            <w:pPr>
              <w:jc w:val="center"/>
              <w:ind w:left="112"/>
              <w:spacing w:before="0" w:after="0" w:line="331.2" w:lineRule="auto"/>
            </w:pPr>
            <w:r>
              <w:rPr>
                <w:rFonts w:ascii="Times New Roman" w:hAnsi="Times New Roman" w:eastAsia="Times New Roman" w:cs="Times New Roman"/>
                <w:sz w:val="24"/>
                <w:szCs w:val="24"/>
                <w:u w:val=""/>
              </w:rPr>
              <w:t xml:space="preserve">Цена с НДС,</w:t>
            </w:r>
          </w:p>
          <w:p>
            <w:pPr>
              <w:jc w:val="center"/>
              <w:ind/>
              <w:spacing w:before="0" w:after="0" w:line="331.2" w:lineRule="auto"/>
            </w:pPr>
            <w:r>
              <w:rPr>
                <w:rFonts w:ascii="Times New Roman" w:hAnsi="Times New Roman" w:eastAsia="Times New Roman" w:cs="Times New Roman"/>
                <w:sz w:val="24"/>
                <w:szCs w:val="24"/>
                <w:u w:val=""/>
              </w:rPr>
              <w:t xml:space="preserve">акцизом, таможен-ной пошлиной</w:t>
            </w:r>
          </w:p>
        </w:tc>
      </w:tr>
      <w:tr>
        <w:trPr>
          <w:trHeight w:val="180" w:hRule="atLeast"/>
        </w:trPr>
        <w:tc>
          <w:tcPr>
            <w:tcW w:w="420"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1.</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70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211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70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211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r>
      <w:tr>
        <w:trPr>
          <w:trHeight w:val="180" w:hRule="atLeast"/>
        </w:trPr>
        <w:tc>
          <w:tcPr>
            <w:tcW w:w="420"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2.</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70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211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70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211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r>
      <w:tr>
        <w:trPr>
          <w:trHeight w:val="180" w:hRule="atLeast"/>
        </w:trPr>
        <w:tc>
          <w:tcPr>
            <w:tcW w:w="420"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8"/>
                <w:szCs w:val="28"/>
                <w:u w:val=""/>
              </w:rPr>
              <w:t xml:space="preserve">…</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70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211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70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211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r>
    </w:tbl>
    <w:p>
      <w:pPr>
        <w:jc w:val="both"/>
        <w:ind/>
        <w:spacing w:before="0" w:after="0" w:line="288" w:lineRule="auto"/>
      </w:pPr>
      <w:r>
        <w:rPr>
          <w:rFonts w:ascii="Times New Roman" w:hAnsi="Times New Roman" w:eastAsia="Times New Roman" w:cs="Times New Roman"/>
          <w:sz w:val="28"/>
          <w:szCs w:val="28"/>
          <w:u w:val=""/>
        </w:rPr>
        <w:t xml:space="preserve">Отходы производства, подлежащие реализации на сторону, </w:t>
      </w:r>
      <w:r>
        <w:br/>
      </w:r>
      <w:r>
        <w:rPr>
          <w:rFonts w:ascii="Times New Roman" w:hAnsi="Times New Roman" w:eastAsia="Times New Roman" w:cs="Times New Roman"/>
          <w:sz w:val="28"/>
          <w:szCs w:val="28"/>
          <w:u w:val=""/>
        </w:rPr>
        <w:t xml:space="preserve">также должны быть включены в данную таблицу.</w:t>
      </w:r>
    </w:p>
    <w:p>
      <w:pPr>
        <w:jc w:val="both"/>
        <w:ind/>
        <w:spacing w:before="0" w:after="0" w:line="288" w:lineRule="auto"/>
      </w:pPr>
      <w:r>
        <w:rPr>
          <w:rFonts w:ascii="Times New Roman" w:hAnsi="Times New Roman" w:eastAsia="Times New Roman" w:cs="Times New Roman"/>
          <w:sz w:val="28"/>
          <w:szCs w:val="28"/>
          <w:b/>
          <w:u w:val=""/>
        </w:rPr>
        <w:t xml:space="preserve">Сезонные колебания цен </w:t>
      </w:r>
      <w:r>
        <w:rPr>
          <w:rFonts w:ascii="Times New Roman" w:hAnsi="Times New Roman" w:eastAsia="Times New Roman" w:cs="Times New Roman"/>
          <w:sz w:val="28"/>
          <w:szCs w:val="28"/>
          <w:u w:val=""/>
        </w:rPr>
        <w:t xml:space="preserve">(с учетом инфляции).</w:t>
      </w:r>
    </w:p>
    <w:p>
      <w:pPr>
        <w:jc w:val="both"/>
        <w:ind/>
        <w:spacing w:before="0" w:after="0" w:line="288" w:lineRule="auto"/>
      </w:pPr>
      <w:r>
        <w:drawing>
          <wp:inline>
            <wp:extent cx="142875" cy="190500"/>
            <wp:docPr id="1" name="image2.png"/>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1">
                      <a:extLst>
                        <a:ext uri="{28A0092B-C50C-407E-A947-70E740481C1C}">
                          <a14:useLocalDpi xmlns:a14="http://schemas.microsoft.com/office/drawing/2010/main" val="0"/>
                        </a:ext>
                      </a:extLst>
                    </a:blip>
                    <a:srcRect/>
                    <a:stretch/>
                  </pic:blipFill>
                  <pic:spPr>
                    <a:xfrm rot="0">
                      <a:off x="0" y="0"/>
                      <a:ext cx="142875" cy="190500"/>
                    </a:xfrm>
                    <a:prstGeom prst="rect">
                      <a:srcRec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eastAsia="Times New Roman" w:cs="Times New Roman"/>
          <w:sz w:val="28"/>
          <w:szCs w:val="28"/>
          <w:u w:val=""/>
        </w:rPr>
        <w:t xml:space="preserve"> Цены указываются в процентах для каждого квартала, при условии наличия ярко выраженной сезонности;</w:t>
      </w:r>
    </w:p>
    <w:p>
      <w:pPr>
        <w:jc w:val="both"/>
        <w:ind/>
        <w:spacing w:before="0" w:after="0" w:line="288" w:lineRule="auto"/>
      </w:pPr>
      <w:r>
        <w:rPr>
          <w:rFonts w:ascii="Times New Roman" w:hAnsi="Times New Roman" w:eastAsia="Times New Roman" w:cs="Times New Roman"/>
          <w:sz w:val="28"/>
          <w:szCs w:val="28"/>
          <w:u w:val=""/>
        </w:rPr>
        <w:t xml:space="preserve">За 100% принимается цена, приведенная в предыдущей таблице.</w:t>
      </w:r>
    </w:p>
    <w:tbl>
      <w:tblGrid>
        <w:gridCol w:w="270" w:type="dxa"/>
        <w:gridCol w:w="4380" w:type="dxa"/>
        <w:gridCol w:w="1290" w:type="dxa"/>
        <w:gridCol w:w="1380" w:type="dxa"/>
        <w:gridCol w:w="1380" w:type="dxa"/>
        <w:gridCol w:w="1035" w:type="dxa"/>
      </w:tblGrid>
      <w:tblPr>
        <w:tblW w:w="9735" w:type="dxa"/>
        <w:tblBorders>
          <w:top w:val="" w:sz="6" w:color="999999"/>
          <w:left w:val="" w:sz="6" w:color="999999"/>
          <w:right w:val="" w:sz="6" w:color="999999"/>
          <w:bottom w:val="" w:sz="6" w:color="999999"/>
          <w:insideH w:val="" w:sz="6" w:color="999999"/>
          <w:insideV w:val="" w:sz="6" w:color="999999"/>
        </w:tblBorders>
        <w:tblInd w:w="" w:type="dxa"/>
      </w:tblPr>
      <w:tr>
        <w:trPr>
          <w:trHeight w:val="180" w:hRule="atLeast"/>
        </w:trPr>
        <w:tc>
          <w:tcPr>
            <w:tcW w:w="27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spacing w:before="0" w:after="0" w:line="331.2" w:lineRule="auto"/>
            </w:pPr>
            <w:r>
              <w:rPr>
                <w:rFonts w:ascii="Times New Roman" w:hAnsi="Times New Roman" w:eastAsia="Times New Roman" w:cs="Times New Roman"/>
                <w:sz w:val="24"/>
                <w:szCs w:val="24"/>
                <w:u w:val=""/>
              </w:rPr>
              <w:t xml:space="preserve">№</w:t>
            </w:r>
          </w:p>
        </w:tc>
        <w:tc>
          <w:tcPr>
            <w:tcW w:w="438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56"/>
              <w:spacing w:before="0" w:after="0" w:line="331.2" w:lineRule="auto"/>
            </w:pPr>
            <w:r>
              <w:rPr>
                <w:rFonts w:ascii="Times New Roman" w:hAnsi="Times New Roman" w:eastAsia="Times New Roman" w:cs="Times New Roman"/>
                <w:sz w:val="24"/>
                <w:szCs w:val="24"/>
                <w:u w:val=""/>
              </w:rPr>
              <w:t xml:space="preserve">Наименование  продукции</w:t>
            </w:r>
          </w:p>
        </w:tc>
        <w:tc>
          <w:tcPr>
            <w:tcW w:w="5085" w:type="dxa"/>
            <w:vAlign w:val="center"/>
            <w:tcBorders>
              <w:top w:val="single" w:sz="8" w:color="000000"/>
              <w:left w:val="single" w:sz="8" w:color="000000"/>
              <w:right w:val="single" w:sz="8" w:color="000000"/>
              <w:bottom w:val="single" w:sz="8" w:color="000000"/>
            </w:tcBorders>
            <w:shd w:val="clear" w:color="auto" w:fill="auto"/>
            <w:gridSpan w:val="4"/>
          </w:tcPr>
          <w:p>
            <w:pPr>
              <w:jc w:val="center"/>
              <w:ind w:left="760"/>
              <w:spacing w:before="0" w:after="0" w:line="331.2" w:lineRule="auto"/>
            </w:pPr>
            <w:r>
              <w:rPr>
                <w:rFonts w:ascii="Times New Roman" w:hAnsi="Times New Roman" w:eastAsia="Times New Roman" w:cs="Times New Roman"/>
                <w:sz w:val="24"/>
                <w:szCs w:val="24"/>
                <w:u w:val=""/>
              </w:rPr>
              <w:t xml:space="preserve">Номер квартала</w:t>
            </w:r>
          </w:p>
        </w:tc>
      </w:tr>
      <w:tr>
        <w:trPr>
          <w:trHeight w:val="180" w:hRule="atLeast"/>
        </w:trPr>
        <w:tc>
          <w:tcPr>
            <w:tcW w:w="27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438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1</w:t>
            </w:r>
          </w:p>
        </w:tc>
        <w:tc>
          <w:tcPr>
            <w:tcW w:w="138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2</w:t>
            </w:r>
          </w:p>
        </w:tc>
        <w:tc>
          <w:tcPr>
            <w:tcW w:w="138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3</w:t>
            </w:r>
          </w:p>
        </w:tc>
        <w:tc>
          <w:tcPr>
            <w:tcW w:w="103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4</w:t>
            </w:r>
          </w:p>
        </w:tc>
      </w:tr>
      <w:tr>
        <w:trPr>
          <w:trHeight w:val="180" w:hRule="atLeast"/>
        </w:trPr>
        <w:tc>
          <w:tcPr>
            <w:tcW w:w="27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1.</w:t>
            </w:r>
          </w:p>
        </w:tc>
        <w:tc>
          <w:tcPr>
            <w:tcW w:w="43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3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3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03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27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2.</w:t>
            </w:r>
          </w:p>
        </w:tc>
        <w:tc>
          <w:tcPr>
            <w:tcW w:w="43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3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3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03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27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w:t>
            </w:r>
          </w:p>
        </w:tc>
        <w:tc>
          <w:tcPr>
            <w:tcW w:w="43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3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3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03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bl>
    <w:p>
      <w:pPr>
        <w:jc w:val="both"/>
        <w:ind/>
        <w:spacing w:before="0" w:after="0" w:line="288" w:lineRule="auto"/>
      </w:pPr>
      <w:r>
        <w:rPr>
          <w:rFonts w:ascii="Times New Roman" w:hAnsi="Times New Roman" w:eastAsia="Times New Roman" w:cs="Times New Roman"/>
          <w:sz w:val="28"/>
          <w:szCs w:val="28"/>
          <w:u w:val=""/>
        </w:rPr>
        <w:t xml:space="preserve">При отсутствии сезонных колебаний цен данная таблица не приводится.</w:t>
      </w:r>
    </w:p>
    <w:p>
      <w:pPr>
        <w:jc w:val="left"/>
        <w:ind/>
        <w:spacing w:before="0" w:after="0" w:line="432" w:lineRule="auto"/>
      </w:pPr>
      <w:r>
        <w:rPr>
          <w:sz w:val="28"/>
          <w:szCs w:val="28"/>
          <w:u w:val=""/>
        </w:rPr>
        <w:t xml:space="preserve"> </w:t>
      </w:r>
    </w:p>
    <w:p>
      <w:pPr>
        <w:jc w:val="left"/>
        <w:ind/>
        <w:spacing w:before="0" w:after="0" w:line="432" w:lineRule="auto"/>
      </w:pPr>
      <w:r>
        <w:rPr>
          <w:sz w:val="28"/>
          <w:szCs w:val="28"/>
          <w:u w:val=""/>
        </w:rPr>
        <w:t xml:space="preserve"> </w:t>
      </w:r>
    </w:p>
    <w:p>
      <w:pPr>
        <w:jc w:val="both"/>
        <w:ind w:left="192"/>
        <w:spacing w:before="0" w:after="0" w:line="288" w:lineRule="auto"/>
        <w:numPr>
          <w:ilvl w:val="2"/>
          <w:numId w:val="84"/>
        </w:numPr>
        <w:rPr>
          <w:sz w:val="28"/>
          <w:szCs w:val="28"/>
          <w:u w:val=""/>
        </w:rPr>
      </w:pPr>
      <w:r>
        <w:rPr>
          <w:rFonts w:ascii="Times New Roman" w:hAnsi="Times New Roman" w:eastAsia="Times New Roman" w:cs="Times New Roman"/>
          <w:sz w:val="28"/>
          <w:szCs w:val="28"/>
          <w:b/>
          <w:u w:val=""/>
        </w:rPr>
        <w:t xml:space="preserve">План производства (продаж) продукции </w:t>
      </w:r>
      <w:r>
        <w:rPr>
          <w:rFonts w:ascii="Times New Roman" w:hAnsi="Times New Roman" w:eastAsia="Times New Roman" w:cs="Times New Roman"/>
          <w:sz w:val="28"/>
          <w:szCs w:val="28"/>
          <w:u w:val=""/>
        </w:rPr>
        <w:t xml:space="preserve">(в натуральном выражении или в процентах освоения проектной мощности, приведенной </w:t>
      </w:r>
      <w:r>
        <w:br/>
      </w:r>
      <w:r>
        <w:rPr>
          <w:rFonts w:ascii="Times New Roman" w:hAnsi="Times New Roman" w:eastAsia="Times New Roman" w:cs="Times New Roman"/>
          <w:sz w:val="28"/>
          <w:szCs w:val="28"/>
          <w:u w:val=""/>
        </w:rPr>
        <w:t xml:space="preserve">к интервалу планирования).</w:t>
      </w:r>
    </w:p>
    <w:tbl>
      <w:tblGrid>
        <w:gridCol w:w="465" w:type="dxa"/>
        <w:gridCol w:w="1605" w:type="dxa"/>
        <w:gridCol w:w="705" w:type="dxa"/>
        <w:gridCol w:w="1125" w:type="dxa"/>
        <w:gridCol w:w="1410" w:type="dxa"/>
        <w:gridCol w:w="1545" w:type="dxa"/>
        <w:gridCol w:w="420" w:type="dxa"/>
        <w:gridCol w:w="420" w:type="dxa"/>
        <w:gridCol w:w="2070" w:type="dxa"/>
      </w:tblGrid>
      <w:tblPr>
        <w:tblW w:w="9765" w:type="dxa"/>
        <w:tblBorders>
          <w:top w:val="" w:sz="6" w:color="999999"/>
          <w:left w:val="" w:sz="6" w:color="999999"/>
          <w:right w:val="" w:sz="6" w:color="999999"/>
          <w:bottom w:val="" w:sz="6" w:color="999999"/>
          <w:insideH w:val="" w:sz="6" w:color="999999"/>
          <w:insideV w:val="" w:sz="6" w:color="999999"/>
        </w:tblBorders>
        <w:tblInd w:w="" w:type="dxa"/>
      </w:tblPr>
      <w:tr>
        <w:trPr>
          <w:trHeight w:val="135" w:hRule="atLeast"/>
        </w:trPr>
        <w:tc>
          <w:tcPr>
            <w:tcW w:w="465"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spacing w:before="0" w:after="0" w:line="331.2" w:lineRule="auto"/>
            </w:pPr>
            <w:r>
              <w:rPr>
                <w:rFonts w:ascii="Times New Roman" w:hAnsi="Times New Roman" w:eastAsia="Times New Roman" w:cs="Times New Roman"/>
                <w:sz w:val="24"/>
                <w:szCs w:val="24"/>
                <w:u w:val=""/>
              </w:rPr>
              <w:t xml:space="preserve">№</w:t>
            </w:r>
          </w:p>
        </w:tc>
        <w:tc>
          <w:tcPr>
            <w:tcW w:w="1605"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spacing w:before="0" w:after="0" w:line="331.2" w:lineRule="auto"/>
            </w:pPr>
            <w:r>
              <w:rPr>
                <w:rFonts w:ascii="Times New Roman" w:hAnsi="Times New Roman" w:eastAsia="Times New Roman" w:cs="Times New Roman"/>
                <w:sz w:val="24"/>
                <w:szCs w:val="24"/>
                <w:u w:val=""/>
              </w:rPr>
              <w:t xml:space="preserve">Наименование продукции</w:t>
            </w:r>
          </w:p>
        </w:tc>
        <w:tc>
          <w:tcPr>
            <w:tcW w:w="705"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spacing w:before="0" w:after="0" w:line="331.2" w:lineRule="auto"/>
            </w:pPr>
            <w:r>
              <w:rPr>
                <w:rFonts w:ascii="Times New Roman" w:hAnsi="Times New Roman" w:eastAsia="Times New Roman" w:cs="Times New Roman"/>
                <w:sz w:val="24"/>
                <w:szCs w:val="24"/>
                <w:u w:val=""/>
              </w:rPr>
              <w:t xml:space="preserve">Ед. изм.</w:t>
            </w:r>
          </w:p>
        </w:tc>
        <w:tc>
          <w:tcPr>
            <w:tcW w:w="1125"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spacing w:before="0" w:after="0" w:line="331.2" w:lineRule="auto"/>
            </w:pPr>
            <w:r>
              <w:rPr>
                <w:rFonts w:ascii="Times New Roman" w:hAnsi="Times New Roman" w:eastAsia="Times New Roman" w:cs="Times New Roman"/>
                <w:sz w:val="24"/>
                <w:szCs w:val="24"/>
                <w:u w:val=""/>
              </w:rPr>
              <w:t xml:space="preserve">Годовая проектная мощность</w:t>
            </w:r>
          </w:p>
        </w:tc>
        <w:tc>
          <w:tcPr>
            <w:tcW w:w="141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spacing w:before="0" w:after="0" w:line="331.2" w:lineRule="auto"/>
            </w:pPr>
            <w:r>
              <w:rPr>
                <w:rFonts w:ascii="Times New Roman" w:hAnsi="Times New Roman" w:eastAsia="Times New Roman" w:cs="Times New Roman"/>
                <w:sz w:val="24"/>
                <w:szCs w:val="24"/>
                <w:u w:val=""/>
              </w:rPr>
              <w:t xml:space="preserve">в т.ч. потери: </w:t>
            </w:r>
            <w:r>
              <w:br/>
            </w:r>
            <w:r>
              <w:rPr>
                <w:rFonts w:ascii="Times New Roman" w:hAnsi="Times New Roman" w:eastAsia="Times New Roman" w:cs="Times New Roman"/>
                <w:sz w:val="24"/>
                <w:szCs w:val="24"/>
                <w:u w:val=""/>
              </w:rPr>
              <w:t xml:space="preserve">на брак и хранение (%)</w:t>
            </w:r>
          </w:p>
        </w:tc>
        <w:tc>
          <w:tcPr>
            <w:tcW w:w="4455" w:type="dxa"/>
            <w:vAlign w:val="center"/>
            <w:tcBorders>
              <w:top w:val="single" w:sz="8" w:color="000000"/>
              <w:left w:val="single" w:sz="8" w:color="000000"/>
              <w:right w:val="single" w:sz="8" w:color="000000"/>
              <w:bottom w:val="single" w:sz="8" w:color="000000"/>
            </w:tcBorders>
            <w:shd w:val="clear" w:color="auto" w:fill="auto"/>
            <w:gridSpan w:val="4"/>
          </w:tcPr>
          <w:p>
            <w:pPr>
              <w:jc w:val="center"/>
              <w:ind/>
              <w:spacing w:before="0" w:after="0" w:line="331.2" w:lineRule="auto"/>
            </w:pPr>
            <w:r>
              <w:rPr>
                <w:rFonts w:ascii="Times New Roman" w:hAnsi="Times New Roman" w:eastAsia="Times New Roman" w:cs="Times New Roman"/>
                <w:sz w:val="24"/>
                <w:szCs w:val="24"/>
                <w:u w:val=""/>
              </w:rPr>
              <w:t xml:space="preserve">Номер интервала планирования (мес.)</w:t>
            </w:r>
          </w:p>
        </w:tc>
      </w:tr>
      <w:tr>
        <w:trPr>
          <w:trHeight w:val="570" w:hRule="atLeast"/>
        </w:trPr>
        <w:tc>
          <w:tcPr>
            <w:tcW w:w="46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160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70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112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141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154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Интервал начала производства</w:t>
            </w:r>
          </w:p>
        </w:tc>
        <w:tc>
          <w:tcPr>
            <w:tcW w:w="42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w:t>
            </w:r>
          </w:p>
        </w:tc>
        <w:tc>
          <w:tcPr>
            <w:tcW w:w="42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w:t>
            </w:r>
          </w:p>
        </w:tc>
        <w:tc>
          <w:tcPr>
            <w:tcW w:w="207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Интервал выхода </w:t>
            </w:r>
            <w:r>
              <w:br/>
            </w:r>
            <w:r>
              <w:rPr>
                <w:rFonts w:ascii="Times New Roman" w:hAnsi="Times New Roman" w:eastAsia="Times New Roman" w:cs="Times New Roman"/>
                <w:sz w:val="24"/>
                <w:szCs w:val="24"/>
                <w:u w:val=""/>
              </w:rPr>
              <w:t xml:space="preserve">на проектную</w:t>
            </w:r>
          </w:p>
          <w:p>
            <w:pPr>
              <w:jc w:val="center"/>
              <w:ind/>
              <w:spacing w:before="0" w:after="0" w:line="331.2" w:lineRule="auto"/>
            </w:pPr>
            <w:r>
              <w:rPr>
                <w:rFonts w:ascii="Times New Roman" w:hAnsi="Times New Roman" w:eastAsia="Times New Roman" w:cs="Times New Roman"/>
                <w:sz w:val="24"/>
                <w:szCs w:val="24"/>
                <w:u w:val=""/>
              </w:rPr>
              <w:t xml:space="preserve">мощность</w:t>
            </w:r>
          </w:p>
        </w:tc>
      </w:tr>
      <w:tr>
        <w:trPr>
          <w:trHeight w:val="180" w:hRule="atLeast"/>
        </w:trPr>
        <w:tc>
          <w:tcPr>
            <w:tcW w:w="46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1.</w:t>
            </w:r>
          </w:p>
        </w:tc>
        <w:tc>
          <w:tcPr>
            <w:tcW w:w="160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70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54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42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42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207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46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2.</w:t>
            </w:r>
          </w:p>
        </w:tc>
        <w:tc>
          <w:tcPr>
            <w:tcW w:w="160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70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54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42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42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207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46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w:t>
            </w:r>
          </w:p>
        </w:tc>
        <w:tc>
          <w:tcPr>
            <w:tcW w:w="160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70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54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42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42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207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bl>
    <w:p>
      <w:pPr>
        <w:jc w:val="both"/>
        <w:ind/>
        <w:spacing w:before="0" w:after="0" w:line="288" w:lineRule="auto"/>
      </w:pPr>
      <w:r>
        <w:rPr>
          <w:rFonts w:ascii="Times New Roman" w:hAnsi="Times New Roman" w:eastAsia="Times New Roman" w:cs="Times New Roman"/>
          <w:sz w:val="28"/>
          <w:szCs w:val="28"/>
          <w:u w:val=""/>
        </w:rPr>
        <w:t xml:space="preserve">Для проектов сельскохозяйственного производства, кроме потерь необходимо указать также процент продукции собственного производства, реализуемой в счет натуральной оплаты труда и внутреннего потребления.</w:t>
      </w:r>
    </w:p>
    <w:p>
      <w:pPr>
        <w:jc w:val="both"/>
        <w:ind/>
        <w:spacing w:before="0" w:after="0" w:line="288" w:lineRule="auto"/>
      </w:pPr>
      <w:r>
        <w:rPr>
          <w:rFonts w:ascii="Times New Roman" w:hAnsi="Times New Roman" w:eastAsia="Times New Roman" w:cs="Times New Roman"/>
          <w:sz w:val="28"/>
          <w:szCs w:val="28"/>
          <w:b/>
          <w:u w:val=""/>
        </w:rPr>
        <w:t xml:space="preserve">Объем продаж</w:t>
      </w:r>
      <w:r>
        <w:rPr>
          <w:rFonts w:ascii="Times New Roman" w:hAnsi="Times New Roman" w:eastAsia="Times New Roman" w:cs="Times New Roman"/>
          <w:sz w:val="28"/>
          <w:szCs w:val="28"/>
          <w:u w:val=""/>
        </w:rPr>
        <w:t xml:space="preserve"> в каждом интервале планирования рассчитывается </w:t>
      </w:r>
      <w:r>
        <w:br/>
      </w:r>
      <w:r>
        <w:rPr>
          <w:rFonts w:ascii="Times New Roman" w:hAnsi="Times New Roman" w:eastAsia="Times New Roman" w:cs="Times New Roman"/>
          <w:sz w:val="28"/>
          <w:szCs w:val="28"/>
          <w:u w:val=""/>
        </w:rPr>
        <w:t xml:space="preserve">в дальнейшем с учетом принятого плана производства, а также норм страхового запаса и оборота (в днях) склада готовой продукции.</w:t>
      </w:r>
    </w:p>
    <w:p>
      <w:pPr>
        <w:jc w:val="both"/>
        <w:ind/>
        <w:spacing w:before="0" w:after="0" w:line="288" w:lineRule="auto"/>
      </w:pPr>
      <w:r>
        <w:rPr>
          <w:rFonts w:ascii="Times New Roman" w:hAnsi="Times New Roman" w:eastAsia="Times New Roman" w:cs="Times New Roman"/>
          <w:sz w:val="28"/>
          <w:szCs w:val="28"/>
          <w:u w:val=""/>
        </w:rPr>
        <w:t xml:space="preserve">Допускается, при необходимости, указывать вместо объемов производства – объемы продаж продукции. При этом соответственно, объем производства становится расчетным параметром проекта. При заполнении таблицы необходимо указать выбранный вариант: объем производства или продаж.</w:t>
      </w:r>
    </w:p>
    <w:p>
      <w:pPr>
        <w:jc w:val="both"/>
        <w:ind/>
        <w:spacing w:before="0" w:after="0" w:line="288" w:lineRule="auto"/>
      </w:pPr>
      <w:r>
        <w:rPr>
          <w:rFonts w:ascii="Times New Roman" w:hAnsi="Times New Roman" w:eastAsia="Times New Roman" w:cs="Times New Roman"/>
          <w:sz w:val="28"/>
          <w:szCs w:val="28"/>
          <w:b/>
          <w:u w:val=""/>
        </w:rPr>
        <w:t xml:space="preserve">Сезонные колебания объемов производства продукции</w:t>
      </w:r>
    </w:p>
    <w:p>
      <w:pPr>
        <w:jc w:val="both"/>
        <w:ind/>
        <w:spacing w:before="0" w:after="0" w:line="288" w:lineRule="auto"/>
      </w:pPr>
      <w:r>
        <w:rPr>
          <w:rFonts w:ascii="Times New Roman" w:hAnsi="Times New Roman" w:eastAsia="Times New Roman" w:cs="Times New Roman"/>
          <w:sz w:val="28"/>
          <w:szCs w:val="28"/>
          <w:u w:val=""/>
        </w:rPr>
        <w:t xml:space="preserve">Объемы производства указываются в процентах для каждого квартала, при условии наличия ярко выраженной сезонности. За 100% принимается объем производства, приведенный в последней графе предыдущей таблицы (интервал выхода на проектную мощность).</w:t>
      </w:r>
    </w:p>
    <w:tbl>
      <w:tblGrid>
        <w:gridCol w:w="705" w:type="dxa"/>
        <w:gridCol w:w="3675" w:type="dxa"/>
        <w:gridCol w:w="1275" w:type="dxa"/>
        <w:gridCol w:w="1410" w:type="dxa"/>
        <w:gridCol w:w="1410" w:type="dxa"/>
        <w:gridCol w:w="1275" w:type="dxa"/>
      </w:tblGrid>
      <w:tblPr>
        <w:tblW w:w="9750" w:type="dxa"/>
        <w:tblBorders>
          <w:top w:val="" w:sz="6" w:color="999999"/>
          <w:left w:val="" w:sz="6" w:color="999999"/>
          <w:right w:val="" w:sz="6" w:color="999999"/>
          <w:bottom w:val="" w:sz="6" w:color="999999"/>
          <w:insideH w:val="" w:sz="6" w:color="999999"/>
          <w:insideV w:val="" w:sz="6" w:color="999999"/>
        </w:tblBorders>
        <w:tblInd w:w="" w:type="dxa"/>
      </w:tblPr>
      <w:tr>
        <w:trPr>
          <w:trHeight w:val="180" w:hRule="atLeast"/>
        </w:trPr>
        <w:tc>
          <w:tcPr>
            <w:tcW w:w="705"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16"/>
              <w:spacing w:before="0" w:after="0" w:line="331.2" w:lineRule="auto"/>
            </w:pPr>
            <w:r>
              <w:rPr>
                <w:rFonts w:ascii="Times New Roman" w:hAnsi="Times New Roman" w:eastAsia="Times New Roman" w:cs="Times New Roman"/>
                <w:sz w:val="24"/>
                <w:szCs w:val="24"/>
                <w:u w:val=""/>
              </w:rPr>
              <w:t xml:space="preserve">№</w:t>
            </w:r>
          </w:p>
        </w:tc>
        <w:tc>
          <w:tcPr>
            <w:tcW w:w="3675"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spacing w:before="0" w:after="0" w:line="331.2" w:lineRule="auto"/>
            </w:pPr>
            <w:r>
              <w:rPr>
                <w:rFonts w:ascii="Times New Roman" w:hAnsi="Times New Roman" w:eastAsia="Times New Roman" w:cs="Times New Roman"/>
                <w:sz w:val="24"/>
                <w:szCs w:val="24"/>
                <w:u w:val=""/>
              </w:rPr>
              <w:t xml:space="preserve">Наименование продукции</w:t>
            </w:r>
          </w:p>
        </w:tc>
        <w:tc>
          <w:tcPr>
            <w:tcW w:w="5370" w:type="dxa"/>
            <w:vAlign w:val="center"/>
            <w:tcBorders>
              <w:top w:val="single" w:sz="8" w:color="000000"/>
              <w:left w:val="single" w:sz="8" w:color="000000"/>
              <w:right w:val="single" w:sz="8" w:color="000000"/>
              <w:bottom w:val="single" w:sz="8" w:color="000000"/>
            </w:tcBorders>
            <w:shd w:val="clear" w:color="auto" w:fill="auto"/>
            <w:gridSpan w:val="4"/>
          </w:tcPr>
          <w:p>
            <w:pPr>
              <w:jc w:val="center"/>
              <w:ind/>
              <w:spacing w:before="0" w:after="0" w:line="331.2" w:lineRule="auto"/>
            </w:pPr>
            <w:r>
              <w:rPr>
                <w:rFonts w:ascii="Times New Roman" w:hAnsi="Times New Roman" w:eastAsia="Times New Roman" w:cs="Times New Roman"/>
                <w:sz w:val="24"/>
                <w:szCs w:val="24"/>
                <w:u w:val=""/>
              </w:rPr>
              <w:t xml:space="preserve">Номер квартала</w:t>
            </w:r>
          </w:p>
        </w:tc>
      </w:tr>
      <w:tr>
        <w:trPr>
          <w:trHeight w:val="180" w:hRule="atLeast"/>
        </w:trPr>
        <w:tc>
          <w:tcPr>
            <w:tcW w:w="70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367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1</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2</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3</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4</w:t>
            </w:r>
          </w:p>
        </w:tc>
      </w:tr>
      <w:tr>
        <w:trPr>
          <w:trHeight w:val="180" w:hRule="atLeast"/>
        </w:trPr>
        <w:tc>
          <w:tcPr>
            <w:tcW w:w="705"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1.</w:t>
            </w:r>
          </w:p>
        </w:tc>
        <w:tc>
          <w:tcPr>
            <w:tcW w:w="36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705"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2.</w:t>
            </w:r>
          </w:p>
        </w:tc>
        <w:tc>
          <w:tcPr>
            <w:tcW w:w="36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705"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w:t>
            </w:r>
          </w:p>
        </w:tc>
        <w:tc>
          <w:tcPr>
            <w:tcW w:w="36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bl>
    <w:p>
      <w:pPr>
        <w:jc w:val="both"/>
        <w:ind/>
        <w:spacing w:before="0" w:after="0" w:line="288" w:lineRule="auto"/>
      </w:pPr>
      <w:r>
        <w:rPr>
          <w:rFonts w:ascii="Times New Roman" w:hAnsi="Times New Roman" w:eastAsia="Times New Roman" w:cs="Times New Roman"/>
          <w:sz w:val="28"/>
          <w:szCs w:val="28"/>
          <w:u w:val=""/>
        </w:rPr>
        <w:t xml:space="preserve">При отсутствии сезонных колебаний объемов производства данная таблица не приводится. При этом предполагается, что после выхода на проектную мощность объем производства постоянен до конца периода расчета проекта.</w:t>
      </w:r>
    </w:p>
    <w:p>
      <w:pPr>
        <w:jc w:val="both"/>
        <w:ind w:left="192"/>
        <w:spacing w:before="0" w:after="0" w:line="288" w:lineRule="auto"/>
        <w:numPr>
          <w:ilvl w:val="2"/>
          <w:numId w:val="87"/>
        </w:numPr>
        <w:rPr>
          <w:sz w:val="28"/>
          <w:szCs w:val="28"/>
          <w:u w:val=""/>
        </w:rPr>
      </w:pPr>
      <w:r>
        <w:rPr>
          <w:rFonts w:ascii="Times New Roman" w:hAnsi="Times New Roman" w:eastAsia="Times New Roman" w:cs="Times New Roman"/>
          <w:sz w:val="28"/>
          <w:szCs w:val="28"/>
          <w:b/>
          <w:u w:val=""/>
        </w:rPr>
        <w:t xml:space="preserve">Номенклатура и цены сырья, материалов и пр. </w:t>
      </w:r>
      <w:r>
        <w:rPr>
          <w:rFonts w:ascii="Times New Roman" w:hAnsi="Times New Roman" w:eastAsia="Times New Roman" w:cs="Times New Roman"/>
          <w:sz w:val="28"/>
          <w:szCs w:val="28"/>
          <w:u w:val=""/>
        </w:rPr>
        <w:t xml:space="preserve">(в валюте платежа)</w:t>
      </w:r>
    </w:p>
    <w:tbl>
      <w:tblGrid>
        <w:gridCol w:w="420" w:type="dxa"/>
        <w:gridCol w:w="1980" w:type="dxa"/>
        <w:gridCol w:w="555" w:type="dxa"/>
        <w:gridCol w:w="1695" w:type="dxa"/>
        <w:gridCol w:w="840" w:type="dxa"/>
        <w:gridCol w:w="1410" w:type="dxa"/>
        <w:gridCol w:w="705" w:type="dxa"/>
        <w:gridCol w:w="2115" w:type="dxa"/>
      </w:tblGrid>
      <w:tblPr>
        <w:tblW w:w="9720" w:type="dxa"/>
        <w:tblBorders>
          <w:top w:val="" w:sz="6" w:color="999999"/>
          <w:left w:val="" w:sz="6" w:color="999999"/>
          <w:right w:val="" w:sz="6" w:color="999999"/>
          <w:bottom w:val="" w:sz="6" w:color="999999"/>
          <w:insideH w:val="" w:sz="6" w:color="999999"/>
          <w:insideV w:val="" w:sz="6" w:color="999999"/>
        </w:tblBorders>
        <w:tblInd w:w="" w:type="dxa"/>
      </w:tblPr>
      <w:tr>
        <w:trPr>
          <w:trHeight w:val="315" w:hRule="atLeast"/>
        </w:trPr>
        <w:tc>
          <w:tcPr>
            <w:tcW w:w="420"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w:t>
            </w:r>
          </w:p>
        </w:tc>
        <w:tc>
          <w:tcPr>
            <w:tcW w:w="1980" w:type="dxa"/>
            <w:vAlign w:val="center"/>
            <w:tcBorders>
              <w:top w:val="single" w:sz="8" w:color="000000"/>
              <w:left w:val="single" w:sz="8" w:color="000000"/>
              <w:right w:val="single" w:sz="8" w:color="000000"/>
              <w:bottom w:val="single" w:sz="8" w:color="000000"/>
            </w:tcBorders>
            <w:shd w:val="clear" w:color="auto" w:fill="auto"/>
          </w:tcPr>
          <w:p>
            <w:pPr>
              <w:jc w:val="center"/>
              <w:ind w:left="-8"/>
              <w:spacing w:before="0" w:after="0" w:line="331.2" w:lineRule="auto"/>
            </w:pPr>
            <w:r>
              <w:rPr>
                <w:rFonts w:ascii="Times New Roman" w:hAnsi="Times New Roman" w:eastAsia="Times New Roman" w:cs="Times New Roman"/>
                <w:sz w:val="24"/>
                <w:szCs w:val="24"/>
                <w:u w:val=""/>
              </w:rPr>
              <w:t xml:space="preserve">Наименование статей прямых материальных затрат</w:t>
            </w:r>
          </w:p>
        </w:tc>
        <w:tc>
          <w:tcPr>
            <w:tcW w:w="55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Ед. изм.</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center"/>
              <w:ind w:left="24"/>
              <w:spacing w:before="0" w:after="0" w:line="331.2" w:lineRule="auto"/>
            </w:pPr>
            <w:r>
              <w:rPr>
                <w:rFonts w:ascii="Times New Roman" w:hAnsi="Times New Roman" w:eastAsia="Times New Roman" w:cs="Times New Roman"/>
                <w:sz w:val="24"/>
                <w:szCs w:val="24"/>
                <w:u w:val=""/>
              </w:rPr>
              <w:t xml:space="preserve">Цена без НДС, акциза,</w:t>
            </w:r>
          </w:p>
          <w:p>
            <w:pPr>
              <w:jc w:val="center"/>
              <w:ind w:left="24"/>
              <w:spacing w:before="0" w:after="0" w:line="331.2" w:lineRule="auto"/>
            </w:pPr>
            <w:r>
              <w:rPr>
                <w:rFonts w:ascii="Times New Roman" w:hAnsi="Times New Roman" w:eastAsia="Times New Roman" w:cs="Times New Roman"/>
                <w:sz w:val="24"/>
                <w:szCs w:val="24"/>
                <w:u w:val=""/>
              </w:rPr>
              <w:t xml:space="preserve">таможенной</w:t>
            </w:r>
          </w:p>
          <w:p>
            <w:pPr>
              <w:jc w:val="center"/>
              <w:ind w:left="24"/>
              <w:spacing w:before="0" w:after="0" w:line="331.2" w:lineRule="auto"/>
            </w:pPr>
            <w:r>
              <w:rPr>
                <w:rFonts w:ascii="Times New Roman" w:hAnsi="Times New Roman" w:eastAsia="Times New Roman" w:cs="Times New Roman"/>
                <w:sz w:val="24"/>
                <w:szCs w:val="24"/>
                <w:u w:val=""/>
              </w:rPr>
              <w:t xml:space="preserve">пошлины</w:t>
            </w:r>
          </w:p>
        </w:tc>
        <w:tc>
          <w:tcPr>
            <w:tcW w:w="840" w:type="dxa"/>
            <w:vAlign w:val="center"/>
            <w:tcBorders>
              <w:top w:val="single" w:sz="8" w:color="000000"/>
              <w:left w:val="single" w:sz="8" w:color="000000"/>
              <w:right w:val="single" w:sz="8" w:color="000000"/>
              <w:bottom w:val="single" w:sz="8" w:color="000000"/>
            </w:tcBorders>
            <w:shd w:val="clear" w:color="auto" w:fill="auto"/>
          </w:tcPr>
          <w:p>
            <w:pPr>
              <w:jc w:val="center"/>
              <w:ind w:left="32"/>
              <w:spacing w:before="0" w:after="0" w:line="331.2" w:lineRule="auto"/>
            </w:pPr>
            <w:r>
              <w:rPr>
                <w:rFonts w:ascii="Times New Roman" w:hAnsi="Times New Roman" w:eastAsia="Times New Roman" w:cs="Times New Roman"/>
                <w:sz w:val="24"/>
                <w:szCs w:val="24"/>
                <w:u w:val=""/>
              </w:rPr>
              <w:t xml:space="preserve">Акциз</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center"/>
              <w:ind w:left="-8"/>
              <w:spacing w:before="0" w:after="0" w:line="331.2" w:lineRule="auto"/>
            </w:pPr>
            <w:r>
              <w:rPr>
                <w:rFonts w:ascii="Times New Roman" w:hAnsi="Times New Roman" w:eastAsia="Times New Roman" w:cs="Times New Roman"/>
                <w:sz w:val="24"/>
                <w:szCs w:val="24"/>
                <w:u w:val=""/>
              </w:rPr>
              <w:t xml:space="preserve">Таможенная пошлина</w:t>
            </w:r>
          </w:p>
        </w:tc>
        <w:tc>
          <w:tcPr>
            <w:tcW w:w="705" w:type="dxa"/>
            <w:vAlign w:val="center"/>
            <w:tcBorders>
              <w:top w:val="single" w:sz="8" w:color="000000"/>
              <w:left w:val="single" w:sz="8" w:color="000000"/>
              <w:right w:val="single" w:sz="8" w:color="000000"/>
              <w:bottom w:val="single" w:sz="8" w:color="000000"/>
            </w:tcBorders>
            <w:shd w:val="clear" w:color="auto" w:fill="auto"/>
          </w:tcPr>
          <w:p>
            <w:pPr>
              <w:jc w:val="center"/>
              <w:ind w:left="32"/>
              <w:spacing w:before="0" w:after="0" w:line="331.2" w:lineRule="auto"/>
            </w:pPr>
            <w:r>
              <w:rPr>
                <w:rFonts w:ascii="Times New Roman" w:hAnsi="Times New Roman" w:eastAsia="Times New Roman" w:cs="Times New Roman"/>
                <w:sz w:val="24"/>
                <w:szCs w:val="24"/>
                <w:u w:val=""/>
              </w:rPr>
              <w:t xml:space="preserve">НДС</w:t>
            </w:r>
          </w:p>
        </w:tc>
        <w:tc>
          <w:tcPr>
            <w:tcW w:w="2115" w:type="dxa"/>
            <w:vAlign w:val="center"/>
            <w:tcBorders>
              <w:top w:val="single" w:sz="8" w:color="000000"/>
              <w:left w:val="single" w:sz="8" w:color="000000"/>
              <w:right w:val="single" w:sz="8" w:color="000000"/>
              <w:bottom w:val="single" w:sz="8" w:color="000000"/>
            </w:tcBorders>
            <w:shd w:val="clear" w:color="auto" w:fill="auto"/>
          </w:tcPr>
          <w:p>
            <w:pPr>
              <w:jc w:val="center"/>
              <w:ind w:left="64"/>
              <w:spacing w:before="0" w:after="0" w:line="331.2" w:lineRule="auto"/>
            </w:pPr>
            <w:r>
              <w:rPr>
                <w:rFonts w:ascii="Times New Roman" w:hAnsi="Times New Roman" w:eastAsia="Times New Roman" w:cs="Times New Roman"/>
                <w:sz w:val="24"/>
                <w:szCs w:val="24"/>
                <w:u w:val=""/>
              </w:rPr>
              <w:t xml:space="preserve">Цена с НДС,</w:t>
            </w:r>
          </w:p>
          <w:p>
            <w:pPr>
              <w:jc w:val="center"/>
              <w:ind w:left="24"/>
              <w:spacing w:before="0" w:after="0" w:line="331.2" w:lineRule="auto"/>
            </w:pPr>
            <w:r>
              <w:rPr>
                <w:rFonts w:ascii="Times New Roman" w:hAnsi="Times New Roman" w:eastAsia="Times New Roman" w:cs="Times New Roman"/>
                <w:sz w:val="24"/>
                <w:szCs w:val="24"/>
                <w:u w:val=""/>
              </w:rPr>
              <w:t xml:space="preserve">акцизом, таможенной пошлиной</w:t>
            </w:r>
          </w:p>
        </w:tc>
      </w:tr>
      <w:tr>
        <w:trPr>
          <w:trHeight w:val="210" w:hRule="atLeast"/>
        </w:trPr>
        <w:tc>
          <w:tcPr>
            <w:tcW w:w="420"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1.</w:t>
            </w:r>
          </w:p>
        </w:tc>
        <w:tc>
          <w:tcPr>
            <w:tcW w:w="19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55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84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70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211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r>
      <w:tr>
        <w:trPr>
          <w:trHeight w:val="195" w:hRule="atLeast"/>
        </w:trPr>
        <w:tc>
          <w:tcPr>
            <w:tcW w:w="420"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2.</w:t>
            </w:r>
          </w:p>
        </w:tc>
        <w:tc>
          <w:tcPr>
            <w:tcW w:w="19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55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84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141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70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c>
          <w:tcPr>
            <w:tcW w:w="211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8"/>
                <w:szCs w:val="28"/>
                <w:u w:val=""/>
              </w:rPr>
              <w:t xml:space="preserve"> </w:t>
            </w:r>
          </w:p>
        </w:tc>
      </w:tr>
    </w:tbl>
    <w:p>
      <w:pPr>
        <w:jc w:val="both"/>
        <w:ind/>
        <w:spacing w:before="0" w:after="0" w:line="288" w:lineRule="auto"/>
      </w:pPr>
      <w:r>
        <w:rPr>
          <w:rFonts w:ascii="Times New Roman" w:hAnsi="Times New Roman" w:eastAsia="Times New Roman" w:cs="Times New Roman"/>
          <w:sz w:val="28"/>
          <w:szCs w:val="28"/>
          <w:u w:val=""/>
        </w:rPr>
        <w:t xml:space="preserve">В таблицу включаются, как правило, материальные затраты, величина которых прямо пропорциональна объему производства (сырье, материалы </w:t>
      </w:r>
      <w:r>
        <w:br/>
      </w:r>
      <w:r>
        <w:rPr>
          <w:rFonts w:ascii="Times New Roman" w:hAnsi="Times New Roman" w:eastAsia="Times New Roman" w:cs="Times New Roman"/>
          <w:sz w:val="28"/>
          <w:szCs w:val="28"/>
          <w:u w:val=""/>
        </w:rPr>
        <w:t xml:space="preserve">и комплектующие, энерго-, тепло-, водопотребление, тара и упаковка и т.п.).</w:t>
      </w:r>
    </w:p>
    <w:p>
      <w:pPr>
        <w:jc w:val="both"/>
        <w:ind/>
        <w:spacing w:before="0" w:after="0" w:line="288" w:lineRule="auto"/>
      </w:pPr>
      <w:r>
        <w:rPr>
          <w:rFonts w:ascii="Times New Roman" w:hAnsi="Times New Roman" w:eastAsia="Times New Roman" w:cs="Times New Roman"/>
          <w:sz w:val="28"/>
          <w:szCs w:val="28"/>
          <w:u w:val=""/>
        </w:rPr>
        <w:t xml:space="preserve">Примерный перечень материальных затрат, учитывающий специфику проектов сельскохозяйственного производства (без разделения на прямые материальные затраты и накладные расходы):</w:t>
      </w:r>
    </w:p>
    <w:p>
      <w:pPr>
        <w:jc w:val="both"/>
        <w:ind w:left="304"/>
        <w:spacing w:before="0" w:after="0" w:line="288" w:lineRule="auto"/>
        <w:numPr>
          <w:ilvl w:val="0"/>
          <w:numId w:val="88"/>
        </w:numPr>
        <w:rPr>
          <w:sz w:val="28"/>
          <w:szCs w:val="28"/>
          <w:u w:val=""/>
        </w:rPr>
      </w:pPr>
      <w:r>
        <w:rPr>
          <w:rFonts w:ascii="Times New Roman" w:hAnsi="Times New Roman" w:eastAsia="Times New Roman" w:cs="Times New Roman"/>
          <w:sz w:val="28"/>
          <w:szCs w:val="28"/>
          <w:u w:val=""/>
        </w:rPr>
        <w:t xml:space="preserve">семена и посадочный материал;</w:t>
      </w:r>
    </w:p>
    <w:p>
      <w:pPr>
        <w:jc w:val="both"/>
        <w:ind w:left="304"/>
        <w:spacing w:before="0" w:after="0" w:line="288" w:lineRule="auto"/>
        <w:numPr>
          <w:ilvl w:val="0"/>
          <w:numId w:val="88"/>
        </w:numPr>
        <w:rPr>
          <w:sz w:val="28"/>
          <w:szCs w:val="28"/>
          <w:u w:val=""/>
        </w:rPr>
      </w:pPr>
      <w:r>
        <w:rPr>
          <w:rFonts w:ascii="Times New Roman" w:hAnsi="Times New Roman" w:eastAsia="Times New Roman" w:cs="Times New Roman"/>
          <w:sz w:val="28"/>
          <w:szCs w:val="28"/>
          <w:u w:val=""/>
        </w:rPr>
        <w:t xml:space="preserve">удобрения минеральные и органические; средства защиты растений </w:t>
      </w:r>
      <w:r>
        <w:br/>
      </w:r>
      <w:r>
        <w:rPr>
          <w:rFonts w:ascii="Times New Roman" w:hAnsi="Times New Roman" w:eastAsia="Times New Roman" w:cs="Times New Roman"/>
          <w:sz w:val="28"/>
          <w:szCs w:val="28"/>
          <w:u w:val=""/>
        </w:rPr>
        <w:t xml:space="preserve">и животных; корма;</w:t>
      </w:r>
    </w:p>
    <w:p>
      <w:pPr>
        <w:jc w:val="both"/>
        <w:ind w:left="304"/>
        <w:spacing w:before="0" w:after="0" w:line="288" w:lineRule="auto"/>
        <w:numPr>
          <w:ilvl w:val="0"/>
          <w:numId w:val="88"/>
        </w:numPr>
        <w:rPr>
          <w:sz w:val="28"/>
          <w:szCs w:val="28"/>
          <w:u w:val=""/>
        </w:rPr>
      </w:pPr>
      <w:r>
        <w:rPr>
          <w:rFonts w:ascii="Times New Roman" w:hAnsi="Times New Roman" w:eastAsia="Times New Roman" w:cs="Times New Roman"/>
          <w:sz w:val="28"/>
          <w:szCs w:val="28"/>
          <w:u w:val=""/>
        </w:rPr>
        <w:t xml:space="preserve">сырье для переработки; ГСМ и топливо;</w:t>
      </w:r>
    </w:p>
    <w:p>
      <w:pPr>
        <w:jc w:val="both"/>
        <w:ind w:left="304"/>
        <w:spacing w:before="0" w:after="0" w:line="288" w:lineRule="auto"/>
        <w:numPr>
          <w:ilvl w:val="0"/>
          <w:numId w:val="88"/>
        </w:numPr>
        <w:rPr>
          <w:sz w:val="28"/>
          <w:szCs w:val="28"/>
          <w:u w:val=""/>
        </w:rPr>
      </w:pPr>
      <w:r>
        <w:rPr>
          <w:rFonts w:ascii="Times New Roman" w:hAnsi="Times New Roman" w:eastAsia="Times New Roman" w:cs="Times New Roman"/>
          <w:sz w:val="28"/>
          <w:szCs w:val="28"/>
          <w:u w:val=""/>
        </w:rPr>
        <w:t xml:space="preserve">энерго-, тепло- и водопотребление;</w:t>
      </w:r>
    </w:p>
    <w:p>
      <w:pPr>
        <w:jc w:val="both"/>
        <w:ind w:left="304"/>
        <w:spacing w:before="0" w:after="0" w:line="288" w:lineRule="auto"/>
        <w:numPr>
          <w:ilvl w:val="0"/>
          <w:numId w:val="88"/>
        </w:numPr>
        <w:rPr>
          <w:sz w:val="28"/>
          <w:szCs w:val="28"/>
          <w:u w:val=""/>
        </w:rPr>
      </w:pPr>
      <w:r>
        <w:rPr>
          <w:rFonts w:ascii="Times New Roman" w:hAnsi="Times New Roman" w:eastAsia="Times New Roman" w:cs="Times New Roman"/>
          <w:sz w:val="28"/>
          <w:szCs w:val="28"/>
          <w:u w:val=""/>
        </w:rPr>
        <w:t xml:space="preserve">запасные части и материалы для ремонта основных средств (обычно входят в состав накладных расходов);</w:t>
      </w:r>
    </w:p>
    <w:p>
      <w:pPr>
        <w:jc w:val="both"/>
        <w:ind w:left="304"/>
        <w:spacing w:before="0" w:after="0" w:line="288" w:lineRule="auto"/>
        <w:numPr>
          <w:ilvl w:val="0"/>
          <w:numId w:val="88"/>
        </w:numPr>
        <w:rPr>
          <w:sz w:val="28"/>
          <w:szCs w:val="28"/>
          <w:u w:val=""/>
        </w:rPr>
      </w:pPr>
      <w:r>
        <w:rPr>
          <w:rFonts w:ascii="Times New Roman" w:hAnsi="Times New Roman" w:eastAsia="Times New Roman" w:cs="Times New Roman"/>
          <w:sz w:val="28"/>
          <w:szCs w:val="28"/>
          <w:u w:val=""/>
        </w:rPr>
        <w:t xml:space="preserve">затраты на работы и услуги производственного характера (оплата транспорта, ремонта сельхозтехники и т.п. – обычно входят в состав накладных расходов);</w:t>
      </w:r>
    </w:p>
    <w:p>
      <w:pPr>
        <w:jc w:val="both"/>
        <w:ind w:left="304"/>
        <w:spacing w:before="0" w:after="0" w:line="288" w:lineRule="auto"/>
        <w:numPr>
          <w:ilvl w:val="0"/>
          <w:numId w:val="88"/>
        </w:numPr>
        <w:rPr>
          <w:sz w:val="28"/>
          <w:szCs w:val="28"/>
          <w:u w:val=""/>
        </w:rPr>
      </w:pPr>
      <w:r>
        <w:rPr>
          <w:rFonts w:ascii="Times New Roman" w:hAnsi="Times New Roman" w:eastAsia="Times New Roman" w:cs="Times New Roman"/>
          <w:sz w:val="28"/>
          <w:szCs w:val="28"/>
          <w:u w:val=""/>
        </w:rPr>
        <w:t xml:space="preserve">прочие материальные затраты, не вошедшие в накладные расходы предприятия.</w:t>
      </w:r>
    </w:p>
    <w:p>
      <w:pPr>
        <w:jc w:val="both"/>
        <w:ind/>
        <w:spacing w:before="0" w:after="0" w:line="288" w:lineRule="auto"/>
      </w:pPr>
      <w:r>
        <w:rPr>
          <w:rFonts w:ascii="Times New Roman" w:hAnsi="Times New Roman" w:eastAsia="Times New Roman" w:cs="Times New Roman"/>
          <w:sz w:val="28"/>
          <w:szCs w:val="28"/>
          <w:b/>
          <w:u w:val=""/>
        </w:rPr>
        <w:t xml:space="preserve">Сезонные колебания цен прямых материальных затрат </w:t>
      </w:r>
      <w:r>
        <w:rPr>
          <w:rFonts w:ascii="Times New Roman" w:hAnsi="Times New Roman" w:eastAsia="Times New Roman" w:cs="Times New Roman"/>
          <w:sz w:val="28"/>
          <w:szCs w:val="28"/>
          <w:u w:val=""/>
        </w:rPr>
        <w:t xml:space="preserve">(с учетом инфляции).</w:t>
      </w:r>
    </w:p>
    <w:p>
      <w:pPr>
        <w:jc w:val="both"/>
        <w:ind/>
        <w:spacing w:before="0" w:after="0" w:line="288" w:lineRule="auto"/>
      </w:pPr>
      <w:r>
        <w:rPr>
          <w:rFonts w:ascii="Times New Roman" w:hAnsi="Times New Roman" w:eastAsia="Times New Roman" w:cs="Times New Roman"/>
          <w:sz w:val="28"/>
          <w:szCs w:val="28"/>
          <w:u w:val=""/>
        </w:rPr>
        <w:t xml:space="preserve">Цены указываются в процентах для каждого квартала, при условии наличия ярко выраженной сезонности. За 100% принимается цена, приведенная в предыдущей таблице.</w:t>
      </w:r>
    </w:p>
    <w:tbl>
      <w:tblGrid>
        <w:gridCol w:w="645" w:type="dxa"/>
        <w:gridCol w:w="3030" w:type="dxa"/>
        <w:gridCol w:w="1485" w:type="dxa"/>
        <w:gridCol w:w="1485" w:type="dxa"/>
        <w:gridCol w:w="1485" w:type="dxa"/>
        <w:gridCol w:w="1485" w:type="dxa"/>
      </w:tblGrid>
      <w:tblPr>
        <w:tblW w:w="9615" w:type="dxa"/>
        <w:tblBorders>
          <w:top w:val="" w:sz="6" w:color="999999"/>
          <w:left w:val="" w:sz="6" w:color="999999"/>
          <w:right w:val="" w:sz="6" w:color="999999"/>
          <w:bottom w:val="" w:sz="6" w:color="999999"/>
          <w:insideH w:val="" w:sz="6" w:color="999999"/>
          <w:insideV w:val="" w:sz="6" w:color="999999"/>
        </w:tblBorders>
        <w:tblInd w:w="" w:type="dxa"/>
      </w:tblPr>
      <w:tr>
        <w:trPr>
          <w:trHeight w:val="180" w:hRule="atLeast"/>
        </w:trPr>
        <w:tc>
          <w:tcPr>
            <w:tcW w:w="645"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16"/>
              <w:spacing w:before="0" w:after="0" w:line="331.2" w:lineRule="auto"/>
            </w:pPr>
            <w:r>
              <w:rPr>
                <w:rFonts w:ascii="Times New Roman" w:hAnsi="Times New Roman" w:eastAsia="Times New Roman" w:cs="Times New Roman"/>
                <w:sz w:val="24"/>
                <w:szCs w:val="24"/>
                <w:u w:val=""/>
              </w:rPr>
              <w:t xml:space="preserve">№</w:t>
            </w:r>
          </w:p>
        </w:tc>
        <w:tc>
          <w:tcPr>
            <w:tcW w:w="303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24"/>
              <w:spacing w:before="0" w:after="0" w:line="331.2" w:lineRule="auto"/>
            </w:pPr>
            <w:r>
              <w:rPr>
                <w:rFonts w:ascii="Times New Roman" w:hAnsi="Times New Roman" w:eastAsia="Times New Roman" w:cs="Times New Roman"/>
                <w:sz w:val="24"/>
                <w:szCs w:val="24"/>
                <w:u w:val=""/>
              </w:rPr>
              <w:t xml:space="preserve">Наименование продукции</w:t>
            </w:r>
          </w:p>
        </w:tc>
        <w:tc>
          <w:tcPr>
            <w:tcW w:w="5940" w:type="dxa"/>
            <w:vAlign w:val="center"/>
            <w:tcBorders>
              <w:top w:val="single" w:sz="8" w:color="000000"/>
              <w:left w:val="single" w:sz="8" w:color="000000"/>
              <w:right w:val="single" w:sz="8" w:color="000000"/>
              <w:bottom w:val="single" w:sz="8" w:color="000000"/>
            </w:tcBorders>
            <w:shd w:val="clear" w:color="auto" w:fill="auto"/>
            <w:gridSpan w:val="4"/>
          </w:tcPr>
          <w:p>
            <w:pPr>
              <w:jc w:val="center"/>
              <w:ind/>
              <w:spacing w:before="0" w:after="0" w:line="331.2" w:lineRule="auto"/>
            </w:pPr>
            <w:r>
              <w:rPr>
                <w:rFonts w:ascii="Times New Roman" w:hAnsi="Times New Roman" w:eastAsia="Times New Roman" w:cs="Times New Roman"/>
                <w:sz w:val="24"/>
                <w:szCs w:val="24"/>
                <w:u w:val=""/>
              </w:rPr>
              <w:t xml:space="preserve">Номер квартала</w:t>
            </w:r>
          </w:p>
        </w:tc>
      </w:tr>
      <w:tr>
        <w:trPr>
          <w:trHeight w:val="180" w:hRule="atLeast"/>
        </w:trPr>
        <w:tc>
          <w:tcPr>
            <w:tcW w:w="64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303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148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1</w:t>
            </w:r>
          </w:p>
        </w:tc>
        <w:tc>
          <w:tcPr>
            <w:tcW w:w="148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2</w:t>
            </w:r>
          </w:p>
        </w:tc>
        <w:tc>
          <w:tcPr>
            <w:tcW w:w="148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3</w:t>
            </w:r>
          </w:p>
        </w:tc>
        <w:tc>
          <w:tcPr>
            <w:tcW w:w="148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4</w:t>
            </w:r>
          </w:p>
        </w:tc>
      </w:tr>
      <w:tr>
        <w:trPr>
          <w:trHeight w:val="180" w:hRule="atLeast"/>
        </w:trPr>
        <w:tc>
          <w:tcPr>
            <w:tcW w:w="645"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1.</w:t>
            </w:r>
          </w:p>
        </w:tc>
        <w:tc>
          <w:tcPr>
            <w:tcW w:w="30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8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8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8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8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645"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2.</w:t>
            </w:r>
          </w:p>
        </w:tc>
        <w:tc>
          <w:tcPr>
            <w:tcW w:w="30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8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8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8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48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bl>
    <w:p>
      <w:pPr>
        <w:jc w:val="both"/>
        <w:ind/>
        <w:spacing w:before="0" w:after="0" w:line="288" w:lineRule="auto"/>
      </w:pPr>
      <w:r>
        <w:rPr>
          <w:rFonts w:ascii="Times New Roman" w:hAnsi="Times New Roman" w:eastAsia="Times New Roman" w:cs="Times New Roman"/>
          <w:sz w:val="28"/>
          <w:szCs w:val="28"/>
          <w:u w:val=""/>
        </w:rPr>
        <w:t xml:space="preserve">При отсутствии сезонных колебаний цен данная таблица не приводится.</w:t>
      </w:r>
    </w:p>
    <w:p>
      <w:pPr>
        <w:jc w:val="both"/>
        <w:ind w:left="192"/>
        <w:spacing w:before="0" w:after="0" w:line="288" w:lineRule="auto"/>
        <w:numPr>
          <w:ilvl w:val="2"/>
          <w:numId w:val="91"/>
        </w:numPr>
        <w:rPr>
          <w:sz w:val="28"/>
          <w:szCs w:val="28"/>
          <w:u w:val=""/>
        </w:rPr>
      </w:pPr>
      <w:r>
        <w:rPr>
          <w:rFonts w:ascii="Times New Roman" w:hAnsi="Times New Roman" w:eastAsia="Times New Roman" w:cs="Times New Roman"/>
          <w:sz w:val="28"/>
          <w:szCs w:val="28"/>
          <w:b/>
          <w:u w:val=""/>
        </w:rPr>
        <w:t xml:space="preserve">Калькуляция прямых материальных затрат на производство единицы продукции </w:t>
      </w:r>
      <w:r>
        <w:rPr>
          <w:rFonts w:ascii="Times New Roman" w:hAnsi="Times New Roman" w:eastAsia="Times New Roman" w:cs="Times New Roman"/>
          <w:sz w:val="28"/>
          <w:szCs w:val="28"/>
          <w:u w:val=""/>
        </w:rPr>
        <w:t xml:space="preserve">(в натуральном и стоимостном выражении и нормативах на единицу продукции).</w:t>
      </w:r>
    </w:p>
    <w:p>
      <w:pPr>
        <w:jc w:val="both"/>
        <w:ind/>
        <w:spacing w:before="0" w:after="0" w:line="288" w:lineRule="auto"/>
      </w:pPr>
      <w:r>
        <w:rPr>
          <w:rFonts w:ascii="Times New Roman" w:hAnsi="Times New Roman" w:eastAsia="Times New Roman" w:cs="Times New Roman"/>
          <w:sz w:val="28"/>
          <w:szCs w:val="28"/>
          <w:u w:val=""/>
        </w:rPr>
        <w:t xml:space="preserve">Для проектов сельскохозяйственного производства необходимо дополнительно привести нормы расхода на единицу обрабатываемых площадей с учетом принятого севооборота.</w:t>
      </w:r>
    </w:p>
    <w:p>
      <w:pPr>
        <w:jc w:val="both"/>
        <w:ind/>
        <w:spacing w:before="0" w:after="0" w:line="288" w:lineRule="auto"/>
      </w:pPr>
      <w:r>
        <w:rPr>
          <w:rFonts w:ascii="Times New Roman" w:hAnsi="Times New Roman" w:eastAsia="Times New Roman" w:cs="Times New Roman"/>
          <w:sz w:val="28"/>
          <w:szCs w:val="28"/>
          <w:u w:val=""/>
        </w:rPr>
        <w:t xml:space="preserve">Приводится отдельная таблица для каждого вида продукции проекта.</w:t>
      </w:r>
    </w:p>
    <w:tbl>
      <w:tblGrid>
        <w:gridCol w:w="585" w:type="dxa"/>
        <w:gridCol w:w="1980" w:type="dxa"/>
        <w:gridCol w:w="990" w:type="dxa"/>
        <w:gridCol w:w="1065" w:type="dxa"/>
        <w:gridCol w:w="1080" w:type="dxa"/>
        <w:gridCol w:w="1080" w:type="dxa"/>
        <w:gridCol w:w="1260" w:type="dxa"/>
        <w:gridCol w:w="1500" w:type="dxa"/>
      </w:tblGrid>
      <w:tblPr>
        <w:tblW w:w="9540" w:type="dxa"/>
        <w:tblBorders>
          <w:top w:val="" w:sz="6" w:color="999999"/>
          <w:left w:val="" w:sz="6" w:color="999999"/>
          <w:right w:val="" w:sz="6" w:color="999999"/>
          <w:bottom w:val="" w:sz="6" w:color="999999"/>
          <w:insideH w:val="" w:sz="6" w:color="999999"/>
          <w:insideV w:val="" w:sz="6" w:color="999999"/>
        </w:tblBorders>
        <w:tblInd w:w="" w:type="dxa"/>
      </w:tblPr>
      <w:tr>
        <w:trPr>
          <w:trHeight w:val="1065" w:hRule="atLeast"/>
        </w:trPr>
        <w:tc>
          <w:tcPr>
            <w:tcW w:w="585" w:type="dxa"/>
            <w:vAlign w:val="center"/>
            <w:tcBorders>
              <w:top w:val="single" w:sz="8" w:color="000000"/>
              <w:left w:val="single" w:sz="8" w:color="000000"/>
              <w:right w:val="single" w:sz="8" w:color="000000"/>
              <w:bottom w:val="single" w:sz="8" w:color="000000"/>
            </w:tcBorders>
            <w:shd w:val="clear" w:color="auto" w:fill="auto"/>
          </w:tcPr>
          <w:p>
            <w:pPr>
              <w:jc w:val="center"/>
              <w:ind w:left="40"/>
              <w:spacing w:before="0" w:after="0" w:line="331.2" w:lineRule="auto"/>
            </w:pPr>
            <w:r>
              <w:rPr>
                <w:rFonts w:ascii="Times New Roman" w:hAnsi="Times New Roman" w:eastAsia="Times New Roman" w:cs="Times New Roman"/>
                <w:sz w:val="24"/>
                <w:szCs w:val="24"/>
                <w:u w:val=""/>
              </w:rPr>
              <w:t xml:space="preserve">№</w:t>
            </w:r>
          </w:p>
        </w:tc>
        <w:tc>
          <w:tcPr>
            <w:tcW w:w="198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Наименование  статей прямых материальных затрат</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center"/>
              <w:ind w:left="56"/>
              <w:spacing w:before="0" w:after="0" w:line="331.2" w:lineRule="auto"/>
            </w:pPr>
            <w:r>
              <w:rPr>
                <w:rFonts w:ascii="Times New Roman" w:hAnsi="Times New Roman" w:eastAsia="Times New Roman" w:cs="Times New Roman"/>
                <w:sz w:val="24"/>
                <w:szCs w:val="24"/>
                <w:u w:val=""/>
              </w:rPr>
              <w:t xml:space="preserve">Ед. изм. статьи затрат</w:t>
            </w:r>
          </w:p>
          <w:p>
            <w:pPr>
              <w:jc w:val="center"/>
              <w:ind w:left="64"/>
              <w:spacing w:before="0" w:after="0" w:line="331.2" w:lineRule="auto"/>
            </w:pPr>
            <w:r>
              <w:rPr>
                <w:rFonts w:ascii="Times New Roman" w:hAnsi="Times New Roman" w:eastAsia="Times New Roman" w:cs="Times New Roman"/>
                <w:sz w:val="24"/>
                <w:szCs w:val="24"/>
                <w:u w:val=""/>
              </w:rPr>
              <w:t xml:space="preserve">---------</w:t>
            </w:r>
          </w:p>
          <w:p>
            <w:pPr>
              <w:jc w:val="center"/>
              <w:ind w:left="64"/>
              <w:spacing w:before="0" w:after="0" w:line="331.2" w:lineRule="auto"/>
            </w:pPr>
            <w:r>
              <w:rPr>
                <w:rFonts w:ascii="Times New Roman" w:hAnsi="Times New Roman" w:eastAsia="Times New Roman" w:cs="Times New Roman"/>
                <w:sz w:val="24"/>
                <w:szCs w:val="24"/>
                <w:u w:val=""/>
              </w:rPr>
              <w:t xml:space="preserve">Ед. изм.</w:t>
            </w:r>
          </w:p>
          <w:p>
            <w:pPr>
              <w:jc w:val="center"/>
              <w:ind/>
              <w:spacing w:before="0" w:after="0" w:line="331.2" w:lineRule="auto"/>
            </w:pPr>
            <w:r>
              <w:rPr>
                <w:rFonts w:ascii="Times New Roman" w:hAnsi="Times New Roman" w:eastAsia="Times New Roman" w:cs="Times New Roman"/>
                <w:sz w:val="24"/>
                <w:szCs w:val="24"/>
                <w:u w:val=""/>
              </w:rPr>
              <w:t xml:space="preserve">продук- ции</w:t>
            </w:r>
          </w:p>
        </w:tc>
        <w:tc>
          <w:tcPr>
            <w:tcW w:w="106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Норма расхода (ед. изм. статьи затрат)</w:t>
            </w:r>
          </w:p>
        </w:tc>
        <w:tc>
          <w:tcPr>
            <w:tcW w:w="1080"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в т.ч., потери: хранения и техноло-гические (%)</w:t>
            </w:r>
          </w:p>
        </w:tc>
        <w:tc>
          <w:tcPr>
            <w:tcW w:w="1080" w:type="dxa"/>
            <w:vAlign w:val="center"/>
            <w:tcBorders>
              <w:top w:val="single" w:sz="8" w:color="000000"/>
              <w:left w:val="single" w:sz="8" w:color="000000"/>
              <w:right w:val="single" w:sz="8" w:color="000000"/>
              <w:bottom w:val="single" w:sz="8" w:color="000000"/>
            </w:tcBorders>
            <w:shd w:val="clear" w:color="auto" w:fill="auto"/>
          </w:tcPr>
          <w:p>
            <w:pPr>
              <w:jc w:val="center"/>
              <w:ind w:left="56"/>
              <w:spacing w:before="0" w:after="0" w:line="331.2" w:lineRule="auto"/>
            </w:pPr>
            <w:r>
              <w:rPr>
                <w:rFonts w:ascii="Times New Roman" w:hAnsi="Times New Roman" w:eastAsia="Times New Roman" w:cs="Times New Roman"/>
                <w:sz w:val="24"/>
                <w:szCs w:val="24"/>
                <w:u w:val=""/>
              </w:rPr>
              <w:t xml:space="preserve">Цена за ед. изм. статьи затрат</w:t>
            </w:r>
          </w:p>
          <w:p>
            <w:pPr>
              <w:jc w:val="center"/>
              <w:ind w:left="40"/>
              <w:spacing w:before="0" w:after="0" w:line="331.2" w:lineRule="auto"/>
            </w:pPr>
            <w:r>
              <w:rPr>
                <w:rFonts w:ascii="Times New Roman" w:hAnsi="Times New Roman" w:eastAsia="Times New Roman" w:cs="Times New Roman"/>
                <w:sz w:val="24"/>
                <w:szCs w:val="24"/>
                <w:u w:val=""/>
              </w:rPr>
              <w:t xml:space="preserve">без НДС (валюта платежа)</w:t>
            </w:r>
          </w:p>
        </w:tc>
        <w:tc>
          <w:tcPr>
            <w:tcW w:w="1260" w:type="dxa"/>
            <w:vAlign w:val="center"/>
            <w:tcBorders>
              <w:top w:val="single" w:sz="8" w:color="000000"/>
              <w:left w:val="single" w:sz="8" w:color="000000"/>
              <w:right w:val="single" w:sz="8" w:color="000000"/>
              <w:bottom w:val="single" w:sz="8" w:color="000000"/>
            </w:tcBorders>
            <w:shd w:val="clear" w:color="auto" w:fill="auto"/>
          </w:tcPr>
          <w:p>
            <w:pPr>
              <w:jc w:val="center"/>
              <w:ind w:left="40"/>
              <w:spacing w:before="0" w:after="0" w:line="331.2" w:lineRule="auto"/>
            </w:pPr>
            <w:r>
              <w:rPr>
                <w:rFonts w:ascii="Times New Roman" w:hAnsi="Times New Roman" w:eastAsia="Times New Roman" w:cs="Times New Roman"/>
                <w:sz w:val="24"/>
                <w:szCs w:val="24"/>
                <w:u w:val=""/>
              </w:rPr>
              <w:t xml:space="preserve">Стоимость статьи затрат (валюта платежа)</w:t>
            </w:r>
          </w:p>
        </w:tc>
        <w:tc>
          <w:tcPr>
            <w:tcW w:w="150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Стоимость статьи затрат (руб.)</w:t>
            </w:r>
          </w:p>
        </w:tc>
      </w:tr>
      <w:tr>
        <w:trPr>
          <w:trHeight w:val="180" w:hRule="atLeast"/>
        </w:trPr>
        <w:tc>
          <w:tcPr>
            <w:tcW w:w="585" w:type="dxa"/>
            <w:vAlign w:val="center"/>
            <w:tcBorders>
              <w:top w:val="single" w:sz="8" w:color="000000"/>
              <w:left w:val="single" w:sz="8" w:color="000000"/>
              <w:right w:val="single" w:sz="8" w:color="000000"/>
              <w:bottom w:val="single" w:sz="8" w:color="000000"/>
            </w:tcBorders>
            <w:shd w:val="clear" w:color="auto" w:fill="auto"/>
          </w:tcPr>
          <w:p>
            <w:pPr>
              <w:jc w:val="center"/>
              <w:ind w:left="40"/>
              <w:spacing w:before="0" w:after="0" w:line="331.2" w:lineRule="auto"/>
            </w:pPr>
            <w:r>
              <w:rPr>
                <w:rFonts w:ascii="Times New Roman" w:hAnsi="Times New Roman" w:eastAsia="Times New Roman" w:cs="Times New Roman"/>
                <w:sz w:val="24"/>
                <w:szCs w:val="24"/>
                <w:u w:val=""/>
              </w:rPr>
              <w:t xml:space="preserve">1.</w:t>
            </w:r>
          </w:p>
        </w:tc>
        <w:tc>
          <w:tcPr>
            <w:tcW w:w="19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06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0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0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6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50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585" w:type="dxa"/>
            <w:vAlign w:val="center"/>
            <w:tcBorders>
              <w:top w:val="single" w:sz="8" w:color="000000"/>
              <w:left w:val="single" w:sz="8" w:color="000000"/>
              <w:right w:val="single" w:sz="8" w:color="000000"/>
              <w:bottom w:val="single" w:sz="8" w:color="000000"/>
            </w:tcBorders>
            <w:shd w:val="clear" w:color="auto" w:fill="auto"/>
          </w:tcPr>
          <w:p>
            <w:pPr>
              <w:jc w:val="center"/>
              <w:ind w:left="40"/>
              <w:spacing w:before="0" w:after="0" w:line="331.2" w:lineRule="auto"/>
            </w:pPr>
            <w:r>
              <w:rPr>
                <w:rFonts w:ascii="Times New Roman" w:hAnsi="Times New Roman" w:eastAsia="Times New Roman" w:cs="Times New Roman"/>
                <w:sz w:val="24"/>
                <w:szCs w:val="24"/>
                <w:u w:val=""/>
              </w:rPr>
              <w:t xml:space="preserve">2.</w:t>
            </w:r>
          </w:p>
        </w:tc>
        <w:tc>
          <w:tcPr>
            <w:tcW w:w="19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06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0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0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6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50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585" w:type="dxa"/>
            <w:vAlign w:val="center"/>
            <w:tcBorders>
              <w:top w:val="single" w:sz="8" w:color="000000"/>
              <w:left w:val="single" w:sz="8" w:color="000000"/>
              <w:right w:val="single" w:sz="8" w:color="000000"/>
              <w:bottom w:val="single" w:sz="8" w:color="000000"/>
            </w:tcBorders>
            <w:shd w:val="clear" w:color="auto" w:fill="auto"/>
          </w:tcPr>
          <w:p>
            <w:pPr>
              <w:jc w:val="center"/>
              <w:ind w:left="40"/>
              <w:spacing w:before="0" w:after="0" w:line="331.2" w:lineRule="auto"/>
            </w:pPr>
            <w:r>
              <w:rPr>
                <w:rFonts w:ascii="Times New Roman" w:hAnsi="Times New Roman" w:eastAsia="Times New Roman" w:cs="Times New Roman"/>
                <w:sz w:val="24"/>
                <w:szCs w:val="24"/>
                <w:u w:val=""/>
              </w:rPr>
              <w:t xml:space="preserve">…</w:t>
            </w:r>
          </w:p>
        </w:tc>
        <w:tc>
          <w:tcPr>
            <w:tcW w:w="19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06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0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08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26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50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58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7455" w:type="dxa"/>
            <w:vAlign w:val="center"/>
            <w:tcBorders>
              <w:top w:val="single" w:sz="8" w:color="000000"/>
              <w:left w:val="single" w:sz="8" w:color="000000"/>
              <w:right w:val="single" w:sz="8" w:color="000000"/>
              <w:bottom w:val="single" w:sz="8" w:color="000000"/>
            </w:tcBorders>
            <w:shd w:val="clear" w:color="auto" w:fill="auto"/>
            <w:gridSpan w:val="6"/>
          </w:tcPr>
          <w:p>
            <w:pPr>
              <w:jc w:val="left"/>
              <w:ind w:left="56"/>
              <w:spacing w:before="0" w:after="0" w:line="331.2" w:lineRule="auto"/>
            </w:pPr>
            <w:r>
              <w:rPr>
                <w:rFonts w:ascii="Times New Roman" w:hAnsi="Times New Roman" w:eastAsia="Times New Roman" w:cs="Times New Roman"/>
                <w:sz w:val="24"/>
                <w:szCs w:val="24"/>
                <w:u w:val=""/>
              </w:rPr>
              <w:t xml:space="preserve">Всего прямых материальных затрат</w:t>
            </w:r>
          </w:p>
        </w:tc>
        <w:tc>
          <w:tcPr>
            <w:tcW w:w="150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bl>
    <w:p>
      <w:pPr>
        <w:jc w:val="both"/>
        <w:ind w:left="192"/>
        <w:spacing w:before="0" w:after="0" w:line="288" w:lineRule="auto"/>
        <w:numPr>
          <w:ilvl w:val="2"/>
          <w:numId w:val="94"/>
        </w:numPr>
        <w:rPr>
          <w:sz w:val="28"/>
          <w:szCs w:val="28"/>
          <w:u w:val=""/>
        </w:rPr>
      </w:pPr>
      <w:r>
        <w:rPr>
          <w:rFonts w:ascii="Times New Roman" w:hAnsi="Times New Roman" w:eastAsia="Times New Roman" w:cs="Times New Roman"/>
          <w:sz w:val="28"/>
          <w:szCs w:val="28"/>
          <w:b/>
          <w:u w:val=""/>
        </w:rPr>
        <w:t xml:space="preserve">Численность персонала и заработная плата </w:t>
      </w:r>
      <w:r>
        <w:rPr>
          <w:rFonts w:ascii="Times New Roman" w:hAnsi="Times New Roman" w:eastAsia="Times New Roman" w:cs="Times New Roman"/>
          <w:sz w:val="28"/>
          <w:szCs w:val="28"/>
          <w:u w:val=""/>
        </w:rPr>
        <w:t xml:space="preserve">(без единого социального налога)</w:t>
      </w:r>
    </w:p>
    <w:tbl>
      <w:tblGrid>
        <w:gridCol w:w="525" w:type="dxa"/>
        <w:gridCol w:w="2190" w:type="dxa"/>
        <w:gridCol w:w="1275" w:type="dxa"/>
        <w:gridCol w:w="990" w:type="dxa"/>
        <w:gridCol w:w="990" w:type="dxa"/>
        <w:gridCol w:w="990" w:type="dxa"/>
        <w:gridCol w:w="990" w:type="dxa"/>
        <w:gridCol w:w="1545" w:type="dxa"/>
      </w:tblGrid>
      <w:tblPr>
        <w:tblW w:w="9495" w:type="dxa"/>
        <w:tblBorders>
          <w:top w:val="" w:sz="6" w:color="999999"/>
          <w:left w:val="" w:sz="6" w:color="999999"/>
          <w:right w:val="" w:sz="6" w:color="999999"/>
          <w:bottom w:val="" w:sz="6" w:color="999999"/>
          <w:insideH w:val="" w:sz="6" w:color="999999"/>
          <w:insideV w:val="" w:sz="6" w:color="999999"/>
        </w:tblBorders>
        <w:tblInd w:w="" w:type="dxa"/>
      </w:tblPr>
      <w:tr>
        <w:trPr>
          <w:trHeight w:val="180" w:hRule="atLeast"/>
        </w:trPr>
        <w:tc>
          <w:tcPr>
            <w:tcW w:w="525"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16"/>
              <w:spacing w:before="0" w:after="0" w:line="331.2" w:lineRule="auto"/>
            </w:pPr>
            <w:r>
              <w:rPr>
                <w:rFonts w:ascii="Times New Roman" w:hAnsi="Times New Roman" w:eastAsia="Times New Roman" w:cs="Times New Roman"/>
                <w:sz w:val="24"/>
                <w:szCs w:val="24"/>
                <w:u w:val=""/>
              </w:rPr>
              <w:t xml:space="preserve">№</w:t>
            </w:r>
          </w:p>
        </w:tc>
        <w:tc>
          <w:tcPr>
            <w:tcW w:w="219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56"/>
              <w:spacing w:before="0" w:after="0" w:line="331.2" w:lineRule="auto"/>
            </w:pPr>
            <w:r>
              <w:rPr>
                <w:rFonts w:ascii="Times New Roman" w:hAnsi="Times New Roman" w:eastAsia="Times New Roman" w:cs="Times New Roman"/>
                <w:sz w:val="24"/>
                <w:szCs w:val="24"/>
                <w:u w:val=""/>
              </w:rPr>
              <w:t xml:space="preserve">Наименование категории персонала</w:t>
            </w:r>
          </w:p>
        </w:tc>
        <w:tc>
          <w:tcPr>
            <w:tcW w:w="1275"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spacing w:before="0" w:after="0" w:line="331.2" w:lineRule="auto"/>
            </w:pPr>
            <w:r>
              <w:rPr>
                <w:rFonts w:ascii="Times New Roman" w:hAnsi="Times New Roman" w:eastAsia="Times New Roman" w:cs="Times New Roman"/>
                <w:sz w:val="24"/>
                <w:szCs w:val="24"/>
                <w:u w:val=""/>
              </w:rPr>
              <w:t xml:space="preserve">Средняя зарплата</w:t>
            </w:r>
          </w:p>
          <w:p>
            <w:pPr>
              <w:jc w:val="center"/>
              <w:ind/>
              <w:spacing w:before="0" w:after="0" w:line="331.2" w:lineRule="auto"/>
            </w:pPr>
            <w:r>
              <w:rPr>
                <w:rFonts w:ascii="Times New Roman" w:hAnsi="Times New Roman" w:eastAsia="Times New Roman" w:cs="Times New Roman"/>
                <w:sz w:val="24"/>
                <w:szCs w:val="24"/>
                <w:u w:val=""/>
              </w:rPr>
              <w:t xml:space="preserve">работника </w:t>
            </w:r>
            <w:r>
              <w:br/>
            </w:r>
            <w:r>
              <w:rPr>
                <w:rFonts w:ascii="Times New Roman" w:hAnsi="Times New Roman" w:eastAsia="Times New Roman" w:cs="Times New Roman"/>
                <w:sz w:val="24"/>
                <w:szCs w:val="24"/>
                <w:u w:val=""/>
              </w:rPr>
              <w:t xml:space="preserve">в месяц (руб.)</w:t>
            </w:r>
          </w:p>
        </w:tc>
        <w:tc>
          <w:tcPr>
            <w:tcW w:w="5505" w:type="dxa"/>
            <w:vAlign w:val="center"/>
            <w:tcBorders>
              <w:top w:val="single" w:sz="8" w:color="000000"/>
              <w:left w:val="single" w:sz="8" w:color="000000"/>
              <w:right w:val="single" w:sz="8" w:color="000000"/>
              <w:bottom w:val="single" w:sz="8" w:color="000000"/>
            </w:tcBorders>
            <w:shd w:val="clear" w:color="auto" w:fill="auto"/>
            <w:gridSpan w:val="5"/>
          </w:tcPr>
          <w:p>
            <w:pPr>
              <w:jc w:val="center"/>
              <w:ind/>
              <w:spacing w:before="0" w:after="0" w:line="331.2" w:lineRule="auto"/>
            </w:pPr>
            <w:r>
              <w:rPr>
                <w:rFonts w:ascii="Times New Roman" w:hAnsi="Times New Roman" w:eastAsia="Times New Roman" w:cs="Times New Roman"/>
                <w:sz w:val="24"/>
                <w:szCs w:val="24"/>
                <w:u w:val=""/>
              </w:rPr>
              <w:t xml:space="preserve">Номер интервала планирования (мес.)</w:t>
            </w:r>
          </w:p>
        </w:tc>
      </w:tr>
      <w:tr>
        <w:trPr>
          <w:trHeight w:val="420" w:hRule="atLeast"/>
        </w:trPr>
        <w:tc>
          <w:tcPr>
            <w:tcW w:w="52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219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127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p>
            <w:pPr>
              <w:jc w:val="center"/>
              <w:ind/>
              <w:spacing w:before="0" w:after="0" w:line="331.2" w:lineRule="auto"/>
            </w:pPr>
            <w:r>
              <w:rPr>
                <w:rFonts w:ascii="Times New Roman" w:hAnsi="Times New Roman" w:eastAsia="Times New Roman" w:cs="Times New Roman"/>
                <w:sz w:val="24"/>
                <w:szCs w:val="24"/>
                <w:u w:val=""/>
              </w:rPr>
              <w:t xml:space="preserve">1</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p>
            <w:pPr>
              <w:jc w:val="center"/>
              <w:ind/>
              <w:spacing w:before="0" w:after="0" w:line="331.2" w:lineRule="auto"/>
            </w:pPr>
            <w:r>
              <w:rPr>
                <w:rFonts w:ascii="Times New Roman" w:hAnsi="Times New Roman" w:eastAsia="Times New Roman" w:cs="Times New Roman"/>
                <w:sz w:val="24"/>
                <w:szCs w:val="24"/>
                <w:u w:val=""/>
              </w:rPr>
              <w:t xml:space="preserve">2</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p>
            <w:pPr>
              <w:jc w:val="center"/>
              <w:ind/>
              <w:spacing w:before="0" w:after="0" w:line="331.2" w:lineRule="auto"/>
            </w:pPr>
            <w:r>
              <w:rPr>
                <w:rFonts w:ascii="Times New Roman" w:hAnsi="Times New Roman" w:eastAsia="Times New Roman" w:cs="Times New Roman"/>
                <w:sz w:val="24"/>
                <w:szCs w:val="24"/>
                <w:u w:val=""/>
              </w:rPr>
              <w:t xml:space="preserve">3</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p>
            <w:pPr>
              <w:jc w:val="center"/>
              <w:ind/>
              <w:spacing w:before="0" w:after="0" w:line="331.2" w:lineRule="auto"/>
            </w:pPr>
            <w:r>
              <w:rPr>
                <w:rFonts w:ascii="Times New Roman" w:hAnsi="Times New Roman" w:eastAsia="Times New Roman" w:cs="Times New Roman"/>
                <w:sz w:val="24"/>
                <w:szCs w:val="24"/>
                <w:u w:val=""/>
              </w:rPr>
              <w:t xml:space="preserve">…</w:t>
            </w:r>
          </w:p>
        </w:tc>
        <w:tc>
          <w:tcPr>
            <w:tcW w:w="1545"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Выход на проектную</w:t>
            </w:r>
          </w:p>
          <w:p>
            <w:pPr>
              <w:jc w:val="center"/>
              <w:ind w:left="16"/>
              <w:spacing w:before="0" w:after="0" w:line="331.2" w:lineRule="auto"/>
            </w:pPr>
            <w:r>
              <w:rPr>
                <w:rFonts w:ascii="Times New Roman" w:hAnsi="Times New Roman" w:eastAsia="Times New Roman" w:cs="Times New Roman"/>
                <w:sz w:val="24"/>
                <w:szCs w:val="24"/>
                <w:u w:val=""/>
              </w:rPr>
              <w:t xml:space="preserve">мощность</w:t>
            </w:r>
          </w:p>
        </w:tc>
      </w:tr>
      <w:tr>
        <w:trPr>
          <w:trHeight w:val="45" w:hRule="atLeast"/>
        </w:trPr>
        <w:tc>
          <w:tcPr>
            <w:tcW w:w="52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219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127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5505" w:type="dxa"/>
            <w:vAlign w:val="center"/>
            <w:tcBorders>
              <w:top w:val="single" w:sz="8" w:color="000000"/>
              <w:left w:val="single" w:sz="8" w:color="000000"/>
              <w:right w:val="single" w:sz="8" w:color="000000"/>
              <w:bottom w:val="single" w:sz="8" w:color="000000"/>
            </w:tcBorders>
            <w:shd w:val="clear" w:color="auto" w:fill="auto"/>
            <w:gridSpan w:val="5"/>
          </w:tcPr>
          <w:p>
            <w:pPr>
              <w:jc w:val="center"/>
              <w:ind/>
              <w:spacing w:before="0" w:after="0" w:line="331.2" w:lineRule="auto"/>
            </w:pPr>
            <w:r>
              <w:rPr>
                <w:rFonts w:ascii="Times New Roman" w:hAnsi="Times New Roman" w:eastAsia="Times New Roman" w:cs="Times New Roman"/>
                <w:sz w:val="24"/>
                <w:szCs w:val="24"/>
                <w:u w:val=""/>
              </w:rPr>
              <w:t xml:space="preserve">Численность (чел.)</w:t>
            </w:r>
          </w:p>
        </w:tc>
      </w:tr>
      <w:tr>
        <w:trPr>
          <w:trHeight w:val="360" w:hRule="atLeast"/>
        </w:trPr>
        <w:tc>
          <w:tcPr>
            <w:tcW w:w="525"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1.</w:t>
            </w:r>
          </w:p>
        </w:tc>
        <w:tc>
          <w:tcPr>
            <w:tcW w:w="2190"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Основной</w:t>
            </w:r>
          </w:p>
          <w:p>
            <w:pPr>
              <w:jc w:val="left"/>
              <w:ind w:left="56"/>
              <w:spacing w:before="0" w:after="0" w:line="331.2" w:lineRule="auto"/>
            </w:pPr>
            <w:r>
              <w:rPr>
                <w:rFonts w:ascii="Times New Roman" w:hAnsi="Times New Roman" w:eastAsia="Times New Roman" w:cs="Times New Roman"/>
                <w:sz w:val="24"/>
                <w:szCs w:val="24"/>
                <w:u w:val=""/>
              </w:rPr>
              <w:t xml:space="preserve">производственный</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54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360" w:hRule="atLeast"/>
        </w:trPr>
        <w:tc>
          <w:tcPr>
            <w:tcW w:w="525"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2.</w:t>
            </w:r>
          </w:p>
        </w:tc>
        <w:tc>
          <w:tcPr>
            <w:tcW w:w="2190"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Вспомогательный</w:t>
            </w:r>
          </w:p>
          <w:p>
            <w:pPr>
              <w:jc w:val="left"/>
              <w:ind w:left="56"/>
              <w:spacing w:before="0" w:after="0" w:line="331.2" w:lineRule="auto"/>
            </w:pPr>
            <w:r>
              <w:rPr>
                <w:rFonts w:ascii="Times New Roman" w:hAnsi="Times New Roman" w:eastAsia="Times New Roman" w:cs="Times New Roman"/>
                <w:sz w:val="24"/>
                <w:szCs w:val="24"/>
                <w:u w:val=""/>
              </w:rPr>
              <w:t xml:space="preserve">производственный</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54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360" w:hRule="atLeast"/>
        </w:trPr>
        <w:tc>
          <w:tcPr>
            <w:tcW w:w="525"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3.</w:t>
            </w:r>
          </w:p>
        </w:tc>
        <w:tc>
          <w:tcPr>
            <w:tcW w:w="2190"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Административно-</w:t>
            </w:r>
          </w:p>
          <w:p>
            <w:pPr>
              <w:jc w:val="left"/>
              <w:ind w:left="56"/>
              <w:spacing w:before="0" w:after="0" w:line="331.2" w:lineRule="auto"/>
            </w:pPr>
            <w:r>
              <w:rPr>
                <w:rFonts w:ascii="Times New Roman" w:hAnsi="Times New Roman" w:eastAsia="Times New Roman" w:cs="Times New Roman"/>
                <w:sz w:val="24"/>
                <w:szCs w:val="24"/>
                <w:u w:val=""/>
              </w:rPr>
              <w:t xml:space="preserve">управленческий</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54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45" w:hRule="atLeast"/>
        </w:trPr>
        <w:tc>
          <w:tcPr>
            <w:tcW w:w="525"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4.</w:t>
            </w:r>
          </w:p>
        </w:tc>
        <w:tc>
          <w:tcPr>
            <w:tcW w:w="2190"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Сбытовой</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54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bl>
    <w:p>
      <w:pPr>
        <w:jc w:val="both"/>
        <w:ind/>
        <w:spacing w:before="0" w:after="0" w:line="288" w:lineRule="auto"/>
      </w:pPr>
      <w:r>
        <w:rPr>
          <w:rFonts w:ascii="Times New Roman" w:hAnsi="Times New Roman" w:eastAsia="Times New Roman" w:cs="Times New Roman"/>
          <w:sz w:val="28"/>
          <w:szCs w:val="28"/>
          <w:u w:val=""/>
        </w:rPr>
        <w:t xml:space="preserve">Разбиение на категории может быть изменено в соответствии </w:t>
      </w:r>
      <w:r>
        <w:br/>
      </w:r>
      <w:r>
        <w:rPr>
          <w:rFonts w:ascii="Times New Roman" w:hAnsi="Times New Roman" w:eastAsia="Times New Roman" w:cs="Times New Roman"/>
          <w:sz w:val="28"/>
          <w:szCs w:val="28"/>
          <w:u w:val=""/>
        </w:rPr>
        <w:t xml:space="preserve">со спецификой проекта, как в сторону сокращения, так и в сторону детализации.</w:t>
      </w:r>
    </w:p>
    <w:p>
      <w:pPr>
        <w:jc w:val="both"/>
        <w:ind w:left="192"/>
        <w:spacing w:before="0" w:after="0" w:line="288" w:lineRule="auto"/>
        <w:numPr>
          <w:ilvl w:val="2"/>
          <w:numId w:val="97"/>
        </w:numPr>
        <w:rPr>
          <w:sz w:val="28"/>
          <w:szCs w:val="28"/>
          <w:u w:val=""/>
        </w:rPr>
      </w:pPr>
      <w:r>
        <w:rPr>
          <w:rFonts w:ascii="Times New Roman" w:hAnsi="Times New Roman" w:eastAsia="Times New Roman" w:cs="Times New Roman"/>
          <w:sz w:val="28"/>
          <w:szCs w:val="28"/>
          <w:b/>
          <w:u w:val=""/>
        </w:rPr>
        <w:t xml:space="preserve">Накладные расходы</w:t>
      </w:r>
    </w:p>
    <w:p>
      <w:pPr>
        <w:jc w:val="both"/>
        <w:ind/>
        <w:spacing w:before="0" w:after="0" w:line="288" w:lineRule="auto"/>
      </w:pPr>
      <w:r>
        <w:rPr>
          <w:rFonts w:ascii="Times New Roman" w:hAnsi="Times New Roman" w:eastAsia="Times New Roman" w:cs="Times New Roman"/>
          <w:sz w:val="28"/>
          <w:szCs w:val="28"/>
          <w:u w:val=""/>
        </w:rPr>
        <w:t xml:space="preserve">Указать базу и норму (%) исчисления, а также перечень основных </w:t>
      </w:r>
      <w:r>
        <w:br/>
      </w:r>
      <w:r>
        <w:rPr>
          <w:rFonts w:ascii="Times New Roman" w:hAnsi="Times New Roman" w:eastAsia="Times New Roman" w:cs="Times New Roman"/>
          <w:sz w:val="28"/>
          <w:szCs w:val="28"/>
          <w:u w:val=""/>
        </w:rPr>
        <w:t xml:space="preserve">(по объему затрат) статей, условно разбитых на три категории: общехозяйственные, административные, сбытовые.</w:t>
      </w:r>
    </w:p>
    <w:tbl>
      <w:tblGrid>
        <w:gridCol w:w="525" w:type="dxa"/>
        <w:gridCol w:w="3915" w:type="dxa"/>
        <w:gridCol w:w="2520" w:type="dxa"/>
        <w:gridCol w:w="2550" w:type="dxa"/>
      </w:tblGrid>
      <w:tblPr>
        <w:tblW w:w="9510" w:type="dxa"/>
        <w:tblBorders>
          <w:top w:val="" w:sz="6" w:color="999999"/>
          <w:left w:val="" w:sz="6" w:color="999999"/>
          <w:right w:val="" w:sz="6" w:color="999999"/>
          <w:bottom w:val="" w:sz="6" w:color="999999"/>
          <w:insideH w:val="" w:sz="6" w:color="999999"/>
          <w:insideV w:val="" w:sz="6" w:color="999999"/>
        </w:tblBorders>
        <w:tblInd w:w="" w:type="dxa"/>
      </w:tblPr>
      <w:tr>
        <w:trPr>
          <w:trHeight w:val="360" w:hRule="atLeast"/>
        </w:trPr>
        <w:tc>
          <w:tcPr>
            <w:tcW w:w="52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w:t>
            </w:r>
          </w:p>
        </w:tc>
        <w:tc>
          <w:tcPr>
            <w:tcW w:w="3915" w:type="dxa"/>
            <w:vAlign w:val="center"/>
            <w:tcBorders>
              <w:top w:val="single" w:sz="8" w:color="000000"/>
              <w:left w:val="single" w:sz="8" w:color="000000"/>
              <w:right w:val="single" w:sz="8" w:color="000000"/>
              <w:bottom w:val="single" w:sz="8" w:color="000000"/>
            </w:tcBorders>
            <w:shd w:val="clear" w:color="auto" w:fill="auto"/>
          </w:tcPr>
          <w:p>
            <w:pPr>
              <w:jc w:val="center"/>
              <w:ind w:left="56"/>
              <w:spacing w:before="0" w:after="0" w:line="331.2" w:lineRule="auto"/>
            </w:pPr>
            <w:r>
              <w:rPr>
                <w:rFonts w:ascii="Times New Roman" w:hAnsi="Times New Roman" w:eastAsia="Times New Roman" w:cs="Times New Roman"/>
                <w:sz w:val="24"/>
                <w:szCs w:val="24"/>
                <w:u w:val=""/>
              </w:rPr>
              <w:t xml:space="preserve">Наименование статей </w:t>
            </w:r>
            <w:r>
              <w:br/>
            </w:r>
            <w:r>
              <w:rPr>
                <w:rFonts w:ascii="Times New Roman" w:hAnsi="Times New Roman" w:eastAsia="Times New Roman" w:cs="Times New Roman"/>
                <w:sz w:val="24"/>
                <w:szCs w:val="24"/>
                <w:u w:val=""/>
              </w:rPr>
              <w:t xml:space="preserve">накладных расходов</w:t>
            </w:r>
          </w:p>
        </w:tc>
        <w:tc>
          <w:tcPr>
            <w:tcW w:w="2520" w:type="dxa"/>
            <w:vAlign w:val="center"/>
            <w:tcBorders>
              <w:top w:val="single" w:sz="8" w:color="000000"/>
              <w:left w:val="single" w:sz="8" w:color="000000"/>
              <w:right w:val="single" w:sz="8" w:color="000000"/>
              <w:bottom w:val="single" w:sz="8" w:color="000000"/>
            </w:tcBorders>
            <w:shd w:val="clear" w:color="auto" w:fill="auto"/>
          </w:tcPr>
          <w:p>
            <w:pPr>
              <w:jc w:val="center"/>
              <w:ind w:left="56"/>
              <w:spacing w:before="0" w:after="0" w:line="331.2" w:lineRule="auto"/>
            </w:pPr>
            <w:r>
              <w:rPr>
                <w:rFonts w:ascii="Times New Roman" w:hAnsi="Times New Roman" w:eastAsia="Times New Roman" w:cs="Times New Roman"/>
                <w:sz w:val="24"/>
                <w:szCs w:val="24"/>
                <w:u w:val=""/>
              </w:rPr>
              <w:t xml:space="preserve">Норма исчисления (%)</w:t>
            </w:r>
          </w:p>
          <w:p>
            <w:pPr>
              <w:jc w:val="center"/>
              <w:ind w:left="56"/>
              <w:spacing w:before="0" w:after="0" w:line="331.2" w:lineRule="auto"/>
            </w:pPr>
            <w:r>
              <w:rPr>
                <w:rFonts w:ascii="Times New Roman" w:hAnsi="Times New Roman" w:eastAsia="Times New Roman" w:cs="Times New Roman"/>
                <w:sz w:val="24"/>
                <w:szCs w:val="24"/>
                <w:u w:val=""/>
              </w:rPr>
              <w:t xml:space="preserve">или сумма (руб.)</w:t>
            </w:r>
          </w:p>
        </w:tc>
        <w:tc>
          <w:tcPr>
            <w:tcW w:w="2550" w:type="dxa"/>
            <w:vAlign w:val="center"/>
            <w:tcBorders>
              <w:top w:val="single" w:sz="8" w:color="000000"/>
              <w:left w:val="single" w:sz="8" w:color="000000"/>
              <w:right w:val="single" w:sz="8" w:color="000000"/>
              <w:bottom w:val="single" w:sz="8" w:color="000000"/>
            </w:tcBorders>
            <w:shd w:val="clear" w:color="auto" w:fill="auto"/>
          </w:tcPr>
          <w:p>
            <w:pPr>
              <w:jc w:val="center"/>
              <w:ind w:left="56"/>
              <w:spacing w:before="0" w:after="0" w:line="331.2" w:lineRule="auto"/>
            </w:pPr>
            <w:r>
              <w:rPr>
                <w:rFonts w:ascii="Times New Roman" w:hAnsi="Times New Roman" w:eastAsia="Times New Roman" w:cs="Times New Roman"/>
                <w:sz w:val="24"/>
                <w:szCs w:val="24"/>
                <w:u w:val=""/>
              </w:rPr>
              <w:t xml:space="preserve">База исчисления</w:t>
            </w:r>
          </w:p>
        </w:tc>
      </w:tr>
      <w:tr>
        <w:trPr>
          <w:trHeight w:val="180" w:hRule="atLeast"/>
        </w:trPr>
        <w:tc>
          <w:tcPr>
            <w:tcW w:w="525"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spacing w:before="0" w:after="0" w:line="331.2" w:lineRule="auto"/>
            </w:pPr>
            <w:r>
              <w:rPr>
                <w:rFonts w:ascii="Times New Roman" w:hAnsi="Times New Roman" w:eastAsia="Times New Roman" w:cs="Times New Roman"/>
                <w:sz w:val="24"/>
                <w:szCs w:val="24"/>
                <w:u w:val=""/>
              </w:rPr>
              <w:t xml:space="preserve">1.</w:t>
            </w:r>
          </w:p>
        </w:tc>
        <w:tc>
          <w:tcPr>
            <w:tcW w:w="3915"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Общехозяйственные</w:t>
            </w:r>
          </w:p>
        </w:tc>
        <w:tc>
          <w:tcPr>
            <w:tcW w:w="252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255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52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3915"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w:t>
            </w:r>
          </w:p>
        </w:tc>
        <w:tc>
          <w:tcPr>
            <w:tcW w:w="252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255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525"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spacing w:before="0" w:after="0" w:line="331.2" w:lineRule="auto"/>
            </w:pPr>
            <w:r>
              <w:rPr>
                <w:rFonts w:ascii="Times New Roman" w:hAnsi="Times New Roman" w:eastAsia="Times New Roman" w:cs="Times New Roman"/>
                <w:sz w:val="24"/>
                <w:szCs w:val="24"/>
                <w:u w:val=""/>
              </w:rPr>
              <w:t xml:space="preserve">2.</w:t>
            </w:r>
          </w:p>
        </w:tc>
        <w:tc>
          <w:tcPr>
            <w:tcW w:w="3915"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Административные</w:t>
            </w:r>
          </w:p>
        </w:tc>
        <w:tc>
          <w:tcPr>
            <w:tcW w:w="252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255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52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3915"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w:t>
            </w:r>
          </w:p>
        </w:tc>
        <w:tc>
          <w:tcPr>
            <w:tcW w:w="252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255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525"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spacing w:before="0" w:after="0" w:line="331.2" w:lineRule="auto"/>
            </w:pPr>
            <w:r>
              <w:rPr>
                <w:rFonts w:ascii="Times New Roman" w:hAnsi="Times New Roman" w:eastAsia="Times New Roman" w:cs="Times New Roman"/>
                <w:sz w:val="24"/>
                <w:szCs w:val="24"/>
                <w:u w:val=""/>
              </w:rPr>
              <w:t xml:space="preserve">3.</w:t>
            </w:r>
          </w:p>
        </w:tc>
        <w:tc>
          <w:tcPr>
            <w:tcW w:w="3915"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Сбытовые</w:t>
            </w:r>
          </w:p>
        </w:tc>
        <w:tc>
          <w:tcPr>
            <w:tcW w:w="252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255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52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3915"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w:t>
            </w:r>
          </w:p>
        </w:tc>
        <w:tc>
          <w:tcPr>
            <w:tcW w:w="252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255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bl>
    <w:p>
      <w:pPr>
        <w:jc w:val="both"/>
        <w:ind/>
        <w:spacing w:before="0" w:after="0" w:line="288" w:lineRule="auto"/>
      </w:pPr>
      <w:r>
        <w:rPr>
          <w:rFonts w:ascii="Times New Roman" w:hAnsi="Times New Roman" w:eastAsia="Times New Roman" w:cs="Times New Roman"/>
          <w:sz w:val="28"/>
          <w:szCs w:val="28"/>
          <w:u w:val=""/>
        </w:rPr>
        <w:t xml:space="preserve">При этом </w:t>
      </w:r>
      <w:r>
        <w:rPr>
          <w:rFonts w:ascii="Times New Roman" w:hAnsi="Times New Roman" w:eastAsia="Times New Roman" w:cs="Times New Roman"/>
          <w:sz w:val="28"/>
          <w:szCs w:val="28"/>
          <w:b/>
          <w:u w:val=""/>
        </w:rPr>
        <w:t xml:space="preserve">в состав накладных расходов не включаются следующие элементы: заработная плата, амортизация, налоги, проценты </w:t>
      </w:r>
      <w:r>
        <w:br/>
      </w:r>
      <w:r>
        <w:rPr>
          <w:rFonts w:ascii="Times New Roman" w:hAnsi="Times New Roman" w:eastAsia="Times New Roman" w:cs="Times New Roman"/>
          <w:sz w:val="28"/>
          <w:szCs w:val="28"/>
          <w:b/>
          <w:u w:val=""/>
        </w:rPr>
        <w:t xml:space="preserve">и лизинговые платежи</w:t>
      </w:r>
      <w:r>
        <w:rPr>
          <w:rFonts w:ascii="Times New Roman" w:hAnsi="Times New Roman" w:eastAsia="Times New Roman" w:cs="Times New Roman"/>
          <w:sz w:val="28"/>
          <w:szCs w:val="28"/>
          <w:u w:val=""/>
        </w:rPr>
        <w:t xml:space="preserve">. Эти элементы затрат указываются в других разделах бизнес-плана.</w:t>
      </w:r>
    </w:p>
    <w:p>
      <w:pPr>
        <w:jc w:val="both"/>
        <w:ind/>
        <w:spacing w:before="0" w:after="0" w:line="288" w:lineRule="auto"/>
      </w:pPr>
      <w:r>
        <w:rPr>
          <w:rFonts w:ascii="Times New Roman" w:hAnsi="Times New Roman" w:eastAsia="Times New Roman" w:cs="Times New Roman"/>
          <w:sz w:val="28"/>
          <w:szCs w:val="28"/>
          <w:u w:val=""/>
        </w:rPr>
        <w:t xml:space="preserve">База исчисления статьи накладных расходов должна соответствовать </w:t>
      </w:r>
      <w:r>
        <w:br/>
      </w:r>
      <w:r>
        <w:rPr>
          <w:rFonts w:ascii="Times New Roman" w:hAnsi="Times New Roman" w:eastAsia="Times New Roman" w:cs="Times New Roman"/>
          <w:sz w:val="28"/>
          <w:szCs w:val="28"/>
          <w:u w:val=""/>
        </w:rPr>
        <w:t xml:space="preserve">ее экономическому смыслу, а именно: возможна зависимость накладных расходов от выручки, заработной платы, стоимости оборудования и т.п., например, расходы на содержание склада пропорциональны величине запасов, сбытовые расходы зависят от объема реализации и т.п. Если такая зависимость имеет место, то данную статью накладных расходов следует описывать через норму (%) и базу исчисления величины расходов. Условно-постоянные накладные расходы задаются суммой затрат в год.</w:t>
      </w:r>
    </w:p>
    <w:p>
      <w:pPr>
        <w:jc w:val="both"/>
        <w:ind/>
        <w:spacing w:before="0" w:after="0" w:line="288" w:lineRule="auto"/>
      </w:pPr>
      <w:r>
        <w:rPr>
          <w:rFonts w:ascii="Times New Roman" w:hAnsi="Times New Roman" w:eastAsia="Times New Roman" w:cs="Times New Roman"/>
          <w:sz w:val="28"/>
          <w:szCs w:val="28"/>
          <w:u w:val=""/>
        </w:rPr>
        <w:t xml:space="preserve">Ниже приведен примерный перечень статей накладных расходов, условно разбитых на три категории:</w:t>
      </w:r>
    </w:p>
    <w:p>
      <w:pPr>
        <w:jc w:val="left"/>
        <w:ind/>
        <w:spacing w:before="0" w:after="0" w:line="288" w:lineRule="auto"/>
      </w:pPr>
      <w:r>
        <w:rPr>
          <w:rFonts w:ascii="Times New Roman" w:hAnsi="Times New Roman" w:eastAsia="Times New Roman" w:cs="Times New Roman"/>
          <w:sz w:val="28"/>
          <w:szCs w:val="28"/>
          <w:b/>
          <w:u w:val=""/>
        </w:rPr>
        <w:t xml:space="preserve">Общехозяйственные:</w:t>
      </w:r>
    </w:p>
    <w:p>
      <w:pPr>
        <w:jc w:val="both"/>
        <w:ind w:left="304"/>
        <w:spacing w:before="0" w:after="0" w:line="288" w:lineRule="auto"/>
        <w:numPr>
          <w:ilvl w:val="0"/>
          <w:numId w:val="98"/>
        </w:numPr>
        <w:rPr>
          <w:sz w:val="28"/>
          <w:szCs w:val="28"/>
          <w:u w:val=""/>
        </w:rPr>
      </w:pPr>
      <w:r>
        <w:rPr>
          <w:rFonts w:ascii="Times New Roman" w:hAnsi="Times New Roman" w:eastAsia="Times New Roman" w:cs="Times New Roman"/>
          <w:sz w:val="28"/>
          <w:szCs w:val="28"/>
          <w:u w:val=""/>
        </w:rPr>
        <w:t xml:space="preserve">затраты на содержание и ремонт зданий и сооружений производственного назначения; затраты на аренду объектов основных производственных фондов;</w:t>
      </w:r>
    </w:p>
    <w:p>
      <w:pPr>
        <w:jc w:val="both"/>
        <w:ind w:left="304"/>
        <w:spacing w:before="0" w:after="0" w:line="288" w:lineRule="auto"/>
        <w:numPr>
          <w:ilvl w:val="0"/>
          <w:numId w:val="98"/>
        </w:numPr>
        <w:rPr>
          <w:sz w:val="28"/>
          <w:szCs w:val="28"/>
          <w:u w:val=""/>
        </w:rPr>
      </w:pPr>
      <w:r>
        <w:rPr>
          <w:rFonts w:ascii="Times New Roman" w:hAnsi="Times New Roman" w:eastAsia="Times New Roman" w:cs="Times New Roman"/>
          <w:sz w:val="28"/>
          <w:szCs w:val="28"/>
          <w:u w:val=""/>
        </w:rPr>
        <w:t xml:space="preserve">затраты на аренду земли сельскохозяйственного назначения; затраты по эксплуатации оборудования;</w:t>
      </w:r>
    </w:p>
    <w:p>
      <w:pPr>
        <w:jc w:val="both"/>
        <w:ind w:left="304"/>
        <w:spacing w:before="0" w:after="0" w:line="288" w:lineRule="auto"/>
        <w:numPr>
          <w:ilvl w:val="0"/>
          <w:numId w:val="98"/>
        </w:numPr>
        <w:rPr>
          <w:sz w:val="28"/>
          <w:szCs w:val="28"/>
          <w:u w:val=""/>
        </w:rPr>
      </w:pPr>
      <w:r>
        <w:rPr>
          <w:rFonts w:ascii="Times New Roman" w:hAnsi="Times New Roman" w:eastAsia="Times New Roman" w:cs="Times New Roman"/>
          <w:sz w:val="28"/>
          <w:szCs w:val="28"/>
          <w:u w:val=""/>
        </w:rPr>
        <w:t xml:space="preserve">текущий ремонт оборудования и транспортных средств;</w:t>
      </w:r>
    </w:p>
    <w:p>
      <w:pPr>
        <w:jc w:val="both"/>
        <w:ind w:left="304"/>
        <w:spacing w:before="0" w:after="0" w:line="288" w:lineRule="auto"/>
        <w:numPr>
          <w:ilvl w:val="0"/>
          <w:numId w:val="98"/>
        </w:numPr>
        <w:rPr>
          <w:sz w:val="28"/>
          <w:szCs w:val="28"/>
          <w:u w:val=""/>
        </w:rPr>
      </w:pPr>
      <w:r>
        <w:rPr>
          <w:rFonts w:ascii="Times New Roman" w:hAnsi="Times New Roman" w:eastAsia="Times New Roman" w:cs="Times New Roman"/>
          <w:sz w:val="28"/>
          <w:szCs w:val="28"/>
          <w:u w:val=""/>
        </w:rPr>
        <w:t xml:space="preserve">внутризаводские транспортные затраты, связанные </w:t>
      </w:r>
      <w:r>
        <w:br/>
      </w:r>
      <w:r>
        <w:rPr>
          <w:rFonts w:ascii="Times New Roman" w:hAnsi="Times New Roman" w:eastAsia="Times New Roman" w:cs="Times New Roman"/>
          <w:sz w:val="28"/>
          <w:szCs w:val="28"/>
          <w:u w:val=""/>
        </w:rPr>
        <w:t xml:space="preserve">с производственными процессами; затраты на охрану окружающей среды;</w:t>
      </w:r>
    </w:p>
    <w:p>
      <w:pPr>
        <w:jc w:val="both"/>
        <w:ind w:left="304"/>
        <w:spacing w:before="0" w:after="0" w:line="288" w:lineRule="auto"/>
        <w:numPr>
          <w:ilvl w:val="0"/>
          <w:numId w:val="98"/>
        </w:numPr>
        <w:rPr>
          <w:sz w:val="28"/>
          <w:szCs w:val="28"/>
          <w:u w:val=""/>
        </w:rPr>
      </w:pPr>
      <w:r>
        <w:rPr>
          <w:rFonts w:ascii="Times New Roman" w:hAnsi="Times New Roman" w:eastAsia="Times New Roman" w:cs="Times New Roman"/>
          <w:sz w:val="28"/>
          <w:szCs w:val="28"/>
          <w:u w:val=""/>
        </w:rPr>
        <w:t xml:space="preserve">затраты на переработку, утилизацию и удаление отходов;</w:t>
      </w:r>
    </w:p>
    <w:p>
      <w:pPr>
        <w:jc w:val="both"/>
        <w:ind w:left="304"/>
        <w:spacing w:before="0" w:after="0" w:line="288" w:lineRule="auto"/>
        <w:numPr>
          <w:ilvl w:val="0"/>
          <w:numId w:val="98"/>
        </w:numPr>
        <w:rPr>
          <w:sz w:val="28"/>
          <w:szCs w:val="28"/>
          <w:u w:val=""/>
        </w:rPr>
      </w:pPr>
      <w:r>
        <w:rPr>
          <w:rFonts w:ascii="Times New Roman" w:hAnsi="Times New Roman" w:eastAsia="Times New Roman" w:cs="Times New Roman"/>
          <w:sz w:val="28"/>
          <w:szCs w:val="28"/>
          <w:u w:val=""/>
        </w:rPr>
        <w:t xml:space="preserve">платежи за предельно допустимые выбросы загрязняющих веществ; затраты на охрану труда;</w:t>
      </w:r>
    </w:p>
    <w:p>
      <w:pPr>
        <w:jc w:val="both"/>
        <w:ind w:left="304"/>
        <w:spacing w:before="0" w:after="0" w:line="288" w:lineRule="auto"/>
        <w:numPr>
          <w:ilvl w:val="0"/>
          <w:numId w:val="98"/>
        </w:numPr>
        <w:rPr>
          <w:sz w:val="28"/>
          <w:szCs w:val="28"/>
          <w:u w:val=""/>
        </w:rPr>
      </w:pPr>
      <w:r>
        <w:rPr>
          <w:rFonts w:ascii="Times New Roman" w:hAnsi="Times New Roman" w:eastAsia="Times New Roman" w:cs="Times New Roman"/>
          <w:sz w:val="28"/>
          <w:szCs w:val="28"/>
          <w:u w:val=""/>
        </w:rPr>
        <w:t xml:space="preserve">затраты на текущую подготовку и переподготовку кадров; затраты </w:t>
      </w:r>
      <w:r>
        <w:br/>
      </w:r>
      <w:r>
        <w:rPr>
          <w:rFonts w:ascii="Times New Roman" w:hAnsi="Times New Roman" w:eastAsia="Times New Roman" w:cs="Times New Roman"/>
          <w:sz w:val="28"/>
          <w:szCs w:val="28"/>
          <w:u w:val=""/>
        </w:rPr>
        <w:t xml:space="preserve">на проведение испытаний, опытов, исследований; затраты на содержание лабораторий;</w:t>
      </w:r>
    </w:p>
    <w:p>
      <w:pPr>
        <w:jc w:val="both"/>
        <w:ind w:left="304"/>
        <w:spacing w:before="0" w:after="0" w:line="288" w:lineRule="auto"/>
        <w:numPr>
          <w:ilvl w:val="0"/>
          <w:numId w:val="98"/>
        </w:numPr>
        <w:rPr>
          <w:sz w:val="28"/>
          <w:szCs w:val="28"/>
          <w:u w:val=""/>
        </w:rPr>
      </w:pPr>
      <w:r>
        <w:rPr>
          <w:rFonts w:ascii="Times New Roman" w:hAnsi="Times New Roman" w:eastAsia="Times New Roman" w:cs="Times New Roman"/>
          <w:sz w:val="28"/>
          <w:szCs w:val="28"/>
          <w:u w:val=""/>
        </w:rPr>
        <w:t xml:space="preserve">затраты на изобретательство и рационализацию; оплата работ </w:t>
      </w:r>
      <w:r>
        <w:br/>
      </w:r>
      <w:r>
        <w:rPr>
          <w:rFonts w:ascii="Times New Roman" w:hAnsi="Times New Roman" w:eastAsia="Times New Roman" w:cs="Times New Roman"/>
          <w:sz w:val="28"/>
          <w:szCs w:val="28"/>
          <w:u w:val=""/>
        </w:rPr>
        <w:t xml:space="preserve">по сертификации продукции.</w:t>
      </w:r>
    </w:p>
    <w:p>
      <w:pPr>
        <w:jc w:val="left"/>
        <w:ind/>
        <w:spacing w:before="0" w:after="0" w:line="288" w:lineRule="auto"/>
      </w:pPr>
      <w:r>
        <w:rPr>
          <w:rFonts w:ascii="Times New Roman" w:hAnsi="Times New Roman" w:eastAsia="Times New Roman" w:cs="Times New Roman"/>
          <w:sz w:val="28"/>
          <w:szCs w:val="28"/>
          <w:b/>
          <w:u w:val=""/>
        </w:rPr>
        <w:t xml:space="preserve">Административные:</w:t>
      </w:r>
    </w:p>
    <w:p>
      <w:pPr>
        <w:jc w:val="both"/>
        <w:ind w:left="304"/>
        <w:spacing w:before="0" w:after="0" w:line="288" w:lineRule="auto"/>
        <w:numPr>
          <w:ilvl w:val="0"/>
          <w:numId w:val="99"/>
        </w:numPr>
        <w:rPr>
          <w:sz w:val="28"/>
          <w:szCs w:val="28"/>
          <w:u w:val=""/>
        </w:rPr>
      </w:pPr>
      <w:r>
        <w:rPr>
          <w:rFonts w:ascii="Times New Roman" w:hAnsi="Times New Roman" w:eastAsia="Times New Roman" w:cs="Times New Roman"/>
          <w:sz w:val="28"/>
          <w:szCs w:val="28"/>
          <w:u w:val=""/>
        </w:rPr>
        <w:t xml:space="preserve">страхование собственности (имущества);</w:t>
      </w:r>
    </w:p>
    <w:p>
      <w:pPr>
        <w:jc w:val="both"/>
        <w:ind w:left="304"/>
        <w:spacing w:before="0" w:after="0" w:line="288" w:lineRule="auto"/>
        <w:numPr>
          <w:ilvl w:val="0"/>
          <w:numId w:val="99"/>
        </w:numPr>
        <w:rPr>
          <w:sz w:val="28"/>
          <w:szCs w:val="28"/>
          <w:u w:val=""/>
        </w:rPr>
      </w:pPr>
      <w:r>
        <w:rPr>
          <w:rFonts w:ascii="Times New Roman" w:hAnsi="Times New Roman" w:eastAsia="Times New Roman" w:cs="Times New Roman"/>
          <w:sz w:val="28"/>
          <w:szCs w:val="28"/>
          <w:u w:val=""/>
        </w:rPr>
        <w:t xml:space="preserve">аренда земли (кроме земель сельскохозяйственного назначения);</w:t>
      </w:r>
    </w:p>
    <w:p>
      <w:pPr>
        <w:jc w:val="both"/>
        <w:ind w:left="304"/>
        <w:spacing w:before="0" w:after="0" w:line="288" w:lineRule="auto"/>
        <w:numPr>
          <w:ilvl w:val="0"/>
          <w:numId w:val="99"/>
        </w:numPr>
        <w:rPr>
          <w:sz w:val="28"/>
          <w:szCs w:val="28"/>
          <w:u w:val=""/>
        </w:rPr>
      </w:pPr>
      <w:r>
        <w:rPr>
          <w:rFonts w:ascii="Times New Roman" w:hAnsi="Times New Roman" w:eastAsia="Times New Roman" w:cs="Times New Roman"/>
          <w:sz w:val="28"/>
          <w:szCs w:val="28"/>
          <w:u w:val=""/>
        </w:rPr>
        <w:t xml:space="preserve">затраты на содержание обеспечивающих служб и подразделений </w:t>
      </w:r>
      <w:r>
        <w:br/>
      </w:r>
      <w:r>
        <w:rPr>
          <w:rFonts w:ascii="Times New Roman" w:hAnsi="Times New Roman" w:eastAsia="Times New Roman" w:cs="Times New Roman"/>
          <w:sz w:val="28"/>
          <w:szCs w:val="28"/>
          <w:u w:val=""/>
        </w:rPr>
        <w:t xml:space="preserve">(без затрат на оплату труда);</w:t>
      </w:r>
    </w:p>
    <w:p>
      <w:pPr>
        <w:jc w:val="both"/>
        <w:ind w:left="304"/>
        <w:spacing w:before="0" w:after="0" w:line="288" w:lineRule="auto"/>
        <w:numPr>
          <w:ilvl w:val="0"/>
          <w:numId w:val="99"/>
        </w:numPr>
        <w:rPr>
          <w:sz w:val="28"/>
          <w:szCs w:val="28"/>
          <w:u w:val=""/>
        </w:rPr>
      </w:pPr>
      <w:r>
        <w:rPr>
          <w:rFonts w:ascii="Times New Roman" w:hAnsi="Times New Roman" w:eastAsia="Times New Roman" w:cs="Times New Roman"/>
          <w:sz w:val="28"/>
          <w:szCs w:val="28"/>
          <w:u w:val=""/>
        </w:rPr>
        <w:t xml:space="preserve">затраты на содержание административных зданий (отопление, освещение, канализация, водоснабжение, вентиляция, и т.д.);</w:t>
      </w:r>
    </w:p>
    <w:p>
      <w:pPr>
        <w:jc w:val="both"/>
        <w:ind w:left="304"/>
        <w:spacing w:before="0" w:after="0" w:line="288" w:lineRule="auto"/>
        <w:numPr>
          <w:ilvl w:val="0"/>
          <w:numId w:val="99"/>
        </w:numPr>
        <w:rPr>
          <w:sz w:val="28"/>
          <w:szCs w:val="28"/>
          <w:u w:val=""/>
        </w:rPr>
      </w:pPr>
      <w:r>
        <w:rPr>
          <w:rFonts w:ascii="Times New Roman" w:hAnsi="Times New Roman" w:eastAsia="Times New Roman" w:cs="Times New Roman"/>
          <w:sz w:val="28"/>
          <w:szCs w:val="28"/>
          <w:u w:val=""/>
        </w:rPr>
        <w:t xml:space="preserve">оплата лицензий на право деятельности; затраты на социально-бытовые нужды; командировочные затраты;</w:t>
      </w:r>
    </w:p>
    <w:p>
      <w:pPr>
        <w:jc w:val="both"/>
        <w:ind w:left="304"/>
        <w:spacing w:before="0" w:after="0" w:line="288" w:lineRule="auto"/>
        <w:numPr>
          <w:ilvl w:val="0"/>
          <w:numId w:val="99"/>
        </w:numPr>
        <w:rPr>
          <w:sz w:val="28"/>
          <w:szCs w:val="28"/>
          <w:u w:val=""/>
        </w:rPr>
      </w:pPr>
      <w:r>
        <w:rPr>
          <w:rFonts w:ascii="Times New Roman" w:hAnsi="Times New Roman" w:eastAsia="Times New Roman" w:cs="Times New Roman"/>
          <w:sz w:val="28"/>
          <w:szCs w:val="28"/>
          <w:u w:val=""/>
        </w:rPr>
        <w:t xml:space="preserve">представительские расходы; оплата расходов на связь; канцелярские расходы и т.д.</w:t>
      </w:r>
    </w:p>
    <w:p>
      <w:pPr>
        <w:jc w:val="left"/>
        <w:ind/>
        <w:spacing w:before="0" w:after="0" w:line="288" w:lineRule="auto"/>
      </w:pPr>
      <w:r>
        <w:rPr>
          <w:rFonts w:ascii="Times New Roman" w:hAnsi="Times New Roman" w:eastAsia="Times New Roman" w:cs="Times New Roman"/>
          <w:sz w:val="28"/>
          <w:szCs w:val="28"/>
          <w:b/>
          <w:u w:val=""/>
        </w:rPr>
        <w:t xml:space="preserve">Сбытовые:</w:t>
      </w:r>
    </w:p>
    <w:p>
      <w:pPr>
        <w:jc w:val="both"/>
        <w:ind w:left="304"/>
        <w:spacing w:before="0" w:after="0" w:line="288" w:lineRule="auto"/>
        <w:numPr>
          <w:ilvl w:val="0"/>
          <w:numId w:val="100"/>
        </w:numPr>
        <w:rPr>
          <w:sz w:val="28"/>
          <w:szCs w:val="28"/>
          <w:u w:val=""/>
        </w:rPr>
      </w:pPr>
      <w:r>
        <w:rPr>
          <w:rFonts w:ascii="Times New Roman" w:hAnsi="Times New Roman" w:eastAsia="Times New Roman" w:cs="Times New Roman"/>
          <w:sz w:val="28"/>
          <w:szCs w:val="28"/>
          <w:u w:val=""/>
        </w:rPr>
        <w:t xml:space="preserve">транспортные затраты (без внутризаводских);</w:t>
      </w:r>
    </w:p>
    <w:p>
      <w:pPr>
        <w:jc w:val="both"/>
        <w:ind w:left="304"/>
        <w:spacing w:before="0" w:after="0" w:line="288" w:lineRule="auto"/>
        <w:numPr>
          <w:ilvl w:val="0"/>
          <w:numId w:val="100"/>
        </w:numPr>
        <w:rPr>
          <w:sz w:val="28"/>
          <w:szCs w:val="28"/>
          <w:u w:val=""/>
        </w:rPr>
      </w:pPr>
      <w:r>
        <w:rPr>
          <w:rFonts w:ascii="Times New Roman" w:hAnsi="Times New Roman" w:eastAsia="Times New Roman" w:cs="Times New Roman"/>
          <w:sz w:val="28"/>
          <w:szCs w:val="28"/>
          <w:u w:val=""/>
        </w:rPr>
        <w:t xml:space="preserve">тара и упаковочные материалы (кроме тары, отпускаемой покупателю вместе с готовой продукцией – учитывается в составе прямых материальных затрат);</w:t>
      </w:r>
    </w:p>
    <w:p>
      <w:pPr>
        <w:jc w:val="both"/>
        <w:ind w:left="304"/>
        <w:spacing w:before="0" w:after="0" w:line="288" w:lineRule="auto"/>
        <w:numPr>
          <w:ilvl w:val="0"/>
          <w:numId w:val="100"/>
        </w:numPr>
        <w:rPr>
          <w:sz w:val="28"/>
          <w:szCs w:val="28"/>
          <w:u w:val=""/>
        </w:rPr>
      </w:pPr>
      <w:r>
        <w:rPr>
          <w:rFonts w:ascii="Times New Roman" w:hAnsi="Times New Roman" w:eastAsia="Times New Roman" w:cs="Times New Roman"/>
          <w:sz w:val="28"/>
          <w:szCs w:val="28"/>
          <w:u w:val=""/>
        </w:rPr>
        <w:t xml:space="preserve">комиссионные сборы, включая отчисления сбытовым организациям; гарантийный ремонт и обслуживание;</w:t>
      </w:r>
    </w:p>
    <w:p>
      <w:pPr>
        <w:jc w:val="both"/>
        <w:ind w:left="304"/>
        <w:spacing w:before="0" w:after="0" w:line="288" w:lineRule="auto"/>
        <w:numPr>
          <w:ilvl w:val="0"/>
          <w:numId w:val="100"/>
        </w:numPr>
        <w:rPr>
          <w:sz w:val="28"/>
          <w:szCs w:val="28"/>
          <w:u w:val=""/>
        </w:rPr>
      </w:pPr>
      <w:r>
        <w:rPr>
          <w:rFonts w:ascii="Times New Roman" w:hAnsi="Times New Roman" w:eastAsia="Times New Roman" w:cs="Times New Roman"/>
          <w:sz w:val="28"/>
          <w:szCs w:val="28"/>
          <w:u w:val=""/>
        </w:rPr>
        <w:t xml:space="preserve">затраты на маркетинг и рекламу.</w:t>
      </w:r>
    </w:p>
    <w:p>
      <w:pPr>
        <w:jc w:val="left"/>
        <w:ind w:left="192"/>
        <w:spacing w:before="0" w:after="0" w:line="288" w:lineRule="auto"/>
        <w:numPr>
          <w:ilvl w:val="2"/>
          <w:numId w:val="102"/>
        </w:numPr>
        <w:rPr>
          <w:sz w:val="28"/>
          <w:szCs w:val="28"/>
          <w:u w:val=""/>
        </w:rPr>
      </w:pPr>
      <w:r>
        <w:rPr>
          <w:rFonts w:ascii="Times New Roman" w:hAnsi="Times New Roman" w:eastAsia="Times New Roman" w:cs="Times New Roman"/>
          <w:sz w:val="28"/>
          <w:szCs w:val="28"/>
          <w:b/>
          <w:u w:val=""/>
        </w:rPr>
        <w:t xml:space="preserve">Капитальные затраты и амортизация</w:t>
      </w:r>
    </w:p>
    <w:tbl>
      <w:tblGrid>
        <w:gridCol w:w="450" w:type="dxa"/>
        <w:gridCol w:w="2400" w:type="dxa"/>
        <w:gridCol w:w="990" w:type="dxa"/>
        <w:gridCol w:w="1125" w:type="dxa"/>
        <w:gridCol w:w="990" w:type="dxa"/>
        <w:gridCol w:w="840" w:type="dxa"/>
        <w:gridCol w:w="330" w:type="dxa"/>
        <w:gridCol w:w="330" w:type="dxa"/>
        <w:gridCol w:w="330" w:type="dxa"/>
        <w:gridCol w:w="1695" w:type="dxa"/>
      </w:tblGrid>
      <w:tblPr>
        <w:tblW w:w="9480" w:type="dxa"/>
        <w:tblBorders>
          <w:top w:val="" w:sz="6" w:color="999999"/>
          <w:left w:val="" w:sz="6" w:color="999999"/>
          <w:right w:val="" w:sz="6" w:color="999999"/>
          <w:bottom w:val="" w:sz="6" w:color="999999"/>
          <w:insideH w:val="" w:sz="6" w:color="999999"/>
          <w:insideV w:val="" w:sz="6" w:color="999999"/>
        </w:tblBorders>
        <w:tblInd w:w="" w:type="dxa"/>
      </w:tblPr>
      <w:tr>
        <w:trPr>
          <w:trHeight w:val="285" w:hRule="atLeast"/>
        </w:trPr>
        <w:tc>
          <w:tcPr>
            <w:tcW w:w="45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16"/>
              <w:spacing w:before="0" w:after="0" w:line="331.2" w:lineRule="auto"/>
            </w:pPr>
            <w:r>
              <w:rPr>
                <w:rFonts w:ascii="Times New Roman" w:hAnsi="Times New Roman" w:eastAsia="Times New Roman" w:cs="Times New Roman"/>
                <w:sz w:val="24"/>
                <w:szCs w:val="24"/>
                <w:u w:val=""/>
              </w:rPr>
              <w:t xml:space="preserve">№</w:t>
            </w:r>
          </w:p>
        </w:tc>
        <w:tc>
          <w:tcPr>
            <w:tcW w:w="240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spacing w:before="0" w:after="0" w:line="331.2" w:lineRule="auto"/>
            </w:pPr>
            <w:r>
              <w:rPr>
                <w:rFonts w:ascii="Times New Roman" w:hAnsi="Times New Roman" w:eastAsia="Times New Roman" w:cs="Times New Roman"/>
                <w:sz w:val="24"/>
                <w:szCs w:val="24"/>
                <w:u w:val=""/>
              </w:rPr>
              <w:t xml:space="preserve">Наименование статей капитальных затрат</w:t>
            </w:r>
          </w:p>
        </w:tc>
        <w:tc>
          <w:tcPr>
            <w:tcW w:w="99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40"/>
              <w:spacing w:before="0" w:after="0" w:line="331.2" w:lineRule="auto"/>
            </w:pPr>
            <w:r>
              <w:rPr>
                <w:rFonts w:ascii="Times New Roman" w:hAnsi="Times New Roman" w:eastAsia="Times New Roman" w:cs="Times New Roman"/>
                <w:sz w:val="24"/>
                <w:szCs w:val="24"/>
                <w:u w:val=""/>
              </w:rPr>
              <w:t xml:space="preserve">Норма аморти-зации (%)</w:t>
            </w:r>
          </w:p>
        </w:tc>
        <w:tc>
          <w:tcPr>
            <w:tcW w:w="1125"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spacing w:before="0" w:after="0" w:line="331.2" w:lineRule="auto"/>
            </w:pPr>
            <w:r>
              <w:rPr>
                <w:rFonts w:ascii="Times New Roman" w:hAnsi="Times New Roman" w:eastAsia="Times New Roman" w:cs="Times New Roman"/>
                <w:sz w:val="24"/>
                <w:szCs w:val="24"/>
                <w:u w:val=""/>
              </w:rPr>
              <w:t xml:space="preserve">Интервал ввода в</w:t>
            </w:r>
          </w:p>
          <w:p>
            <w:pPr>
              <w:jc w:val="center"/>
              <w:ind/>
              <w:spacing w:before="0" w:after="0" w:line="331.2" w:lineRule="auto"/>
            </w:pPr>
            <w:r>
              <w:rPr>
                <w:rFonts w:ascii="Times New Roman" w:hAnsi="Times New Roman" w:eastAsia="Times New Roman" w:cs="Times New Roman"/>
                <w:sz w:val="24"/>
                <w:szCs w:val="24"/>
                <w:u w:val=""/>
              </w:rPr>
              <w:t xml:space="preserve">эксплуа-</w:t>
            </w:r>
            <w:r>
              <w:br/>
            </w:r>
            <w:r>
              <w:rPr>
                <w:rFonts w:ascii="Times New Roman" w:hAnsi="Times New Roman" w:eastAsia="Times New Roman" w:cs="Times New Roman"/>
                <w:sz w:val="24"/>
                <w:szCs w:val="24"/>
                <w:u w:val=""/>
              </w:rPr>
              <w:t xml:space="preserve">та цию</w:t>
            </w:r>
          </w:p>
        </w:tc>
        <w:tc>
          <w:tcPr>
            <w:tcW w:w="1830" w:type="dxa"/>
            <w:vAlign w:val="center"/>
            <w:tcBorders>
              <w:top w:val="single" w:sz="8" w:color="000000"/>
              <w:left w:val="single" w:sz="8" w:color="000000"/>
              <w:right w:val="single" w:sz="8" w:color="000000"/>
              <w:bottom w:val="single" w:sz="8" w:color="000000"/>
            </w:tcBorders>
            <w:shd w:val="clear" w:color="auto" w:fill="auto"/>
            <w:gridSpan w:val="2"/>
            <w:vMerge w:val="restart"/>
          </w:tcPr>
          <w:p>
            <w:pPr>
              <w:jc w:val="center"/>
              <w:ind/>
              <w:spacing w:before="0" w:after="0" w:line="331.2" w:lineRule="auto"/>
            </w:pPr>
            <w:r>
              <w:rPr>
                <w:rFonts w:ascii="Times New Roman" w:hAnsi="Times New Roman" w:eastAsia="Times New Roman" w:cs="Times New Roman"/>
                <w:sz w:val="24"/>
                <w:szCs w:val="24"/>
                <w:u w:val=""/>
              </w:rPr>
              <w:t xml:space="preserve">Общая стоимость затрат (валюта платежа)</w:t>
            </w:r>
          </w:p>
        </w:tc>
        <w:tc>
          <w:tcPr>
            <w:tcW w:w="2685" w:type="dxa"/>
            <w:vAlign w:val="center"/>
            <w:tcBorders>
              <w:top w:val="single" w:sz="8" w:color="000000"/>
              <w:left w:val="single" w:sz="8" w:color="000000"/>
              <w:right w:val="single" w:sz="8" w:color="000000"/>
              <w:bottom w:val="single" w:sz="8" w:color="000000"/>
            </w:tcBorders>
            <w:shd w:val="clear" w:color="auto" w:fill="auto"/>
            <w:gridSpan w:val="4"/>
          </w:tcPr>
          <w:p>
            <w:pPr>
              <w:jc w:val="center"/>
              <w:ind w:left="144"/>
              <w:spacing w:before="0" w:after="0" w:line="331.2" w:lineRule="auto"/>
            </w:pPr>
            <w:r>
              <w:rPr>
                <w:rFonts w:ascii="Times New Roman" w:hAnsi="Times New Roman" w:eastAsia="Times New Roman" w:cs="Times New Roman"/>
                <w:sz w:val="24"/>
                <w:szCs w:val="24"/>
                <w:u w:val=""/>
              </w:rPr>
              <w:t xml:space="preserve">В т.ч. по интервалам</w:t>
            </w:r>
          </w:p>
          <w:p>
            <w:pPr>
              <w:jc w:val="center"/>
              <w:ind w:left="152"/>
              <w:spacing w:before="0" w:after="0" w:line="331.2" w:lineRule="auto"/>
            </w:pPr>
            <w:r>
              <w:rPr>
                <w:rFonts w:ascii="Times New Roman" w:hAnsi="Times New Roman" w:eastAsia="Times New Roman" w:cs="Times New Roman"/>
                <w:sz w:val="24"/>
                <w:szCs w:val="24"/>
                <w:u w:val=""/>
              </w:rPr>
              <w:t xml:space="preserve">планирования (мес.)</w:t>
            </w:r>
          </w:p>
        </w:tc>
      </w:tr>
      <w:tr>
        <w:trPr>
          <w:trHeight w:val="420" w:hRule="atLeast"/>
        </w:trPr>
        <w:tc>
          <w:tcPr>
            <w:tcW w:w="45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240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99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112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990" w:type="dxa"/>
            <w:vAlign w:val="center"/>
            <w:tcBorders>
              <w:top w:val="single" w:sz="8" w:color="000000"/>
              <w:left w:val="single" w:sz="8" w:color="000000"/>
              <w:right w:val="single" w:sz="8" w:color="000000"/>
              <w:bottom w:val="single" w:sz="8" w:color="000000"/>
            </w:tcBorders>
            <w:shd w:val="clear" w:color="auto" w:fill="auto"/>
            <w:gridSpan w:val="2"/>
            <w:vMerge w:val="continue"/>
          </w:tcPr>
          <w:p>
            <w:pPr>
              <w:jc w:val="left"/>
              <w:ind/>
              <w:spacing w:before="0" w:after="0" w:line="432" w:lineRule="auto"/>
            </w:pP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p>
            <w:pPr>
              <w:jc w:val="center"/>
              <w:ind/>
              <w:spacing w:before="0" w:after="0" w:line="331.2" w:lineRule="auto"/>
            </w:pPr>
            <w:r>
              <w:rPr>
                <w:rFonts w:ascii="Times New Roman" w:hAnsi="Times New Roman" w:eastAsia="Times New Roman" w:cs="Times New Roman"/>
                <w:sz w:val="24"/>
                <w:szCs w:val="24"/>
                <w:u w:val=""/>
              </w:rPr>
              <w:t xml:space="preserve">1</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p>
            <w:pPr>
              <w:jc w:val="center"/>
              <w:ind/>
              <w:spacing w:before="0" w:after="0" w:line="331.2" w:lineRule="auto"/>
            </w:pPr>
            <w:r>
              <w:rPr>
                <w:rFonts w:ascii="Times New Roman" w:hAnsi="Times New Roman" w:eastAsia="Times New Roman" w:cs="Times New Roman"/>
                <w:sz w:val="24"/>
                <w:szCs w:val="24"/>
                <w:u w:val=""/>
              </w:rPr>
              <w:t xml:space="preserve">2</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p>
            <w:pPr>
              <w:jc w:val="center"/>
              <w:ind w:left="24"/>
              <w:spacing w:before="0" w:after="0" w:line="331.2" w:lineRule="auto"/>
            </w:pPr>
            <w:r>
              <w:rPr>
                <w:rFonts w:ascii="Times New Roman" w:hAnsi="Times New Roman" w:eastAsia="Times New Roman" w:cs="Times New Roman"/>
                <w:sz w:val="24"/>
                <w:szCs w:val="24"/>
                <w:u w:val=""/>
              </w:rPr>
              <w:t xml:space="preserve">…</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Ввод </w:t>
            </w:r>
            <w:r>
              <w:br/>
            </w:r>
            <w:r>
              <w:rPr>
                <w:rFonts w:ascii="Times New Roman" w:hAnsi="Times New Roman" w:eastAsia="Times New Roman" w:cs="Times New Roman"/>
                <w:sz w:val="24"/>
                <w:szCs w:val="24"/>
                <w:u w:val=""/>
              </w:rPr>
              <w:t xml:space="preserve">в эксплуатацию</w:t>
            </w:r>
          </w:p>
        </w:tc>
      </w:tr>
      <w:tr>
        <w:trPr>
          <w:trHeight w:val="180" w:hRule="atLeast"/>
        </w:trPr>
        <w:tc>
          <w:tcPr>
            <w:tcW w:w="45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16"/>
              <w:spacing w:before="0" w:after="0" w:line="331.2" w:lineRule="auto"/>
            </w:pPr>
            <w:r>
              <w:rPr>
                <w:rFonts w:ascii="Times New Roman" w:hAnsi="Times New Roman" w:eastAsia="Times New Roman" w:cs="Times New Roman"/>
                <w:sz w:val="24"/>
                <w:szCs w:val="24"/>
                <w:u w:val=""/>
              </w:rPr>
              <w:t xml:space="preserve">1.</w:t>
            </w:r>
          </w:p>
        </w:tc>
        <w:tc>
          <w:tcPr>
            <w:tcW w:w="4515" w:type="dxa"/>
            <w:vAlign w:val="center"/>
            <w:tcBorders>
              <w:top w:val="single" w:sz="8" w:color="000000"/>
              <w:left w:val="single" w:sz="8" w:color="000000"/>
              <w:right w:val="single" w:sz="8" w:color="000000"/>
              <w:bottom w:val="single" w:sz="8" w:color="000000"/>
            </w:tcBorders>
            <w:shd w:val="clear" w:color="auto" w:fill="auto"/>
            <w:gridSpan w:val="3"/>
          </w:tcPr>
          <w:p>
            <w:pPr>
              <w:jc w:val="left"/>
              <w:ind w:left="56"/>
              <w:spacing w:before="0" w:after="0" w:line="331.2" w:lineRule="auto"/>
            </w:pPr>
            <w:r>
              <w:rPr>
                <w:rFonts w:ascii="Times New Roman" w:hAnsi="Times New Roman" w:eastAsia="Times New Roman" w:cs="Times New Roman"/>
                <w:sz w:val="24"/>
                <w:szCs w:val="24"/>
                <w:u w:val=""/>
              </w:rPr>
              <w:t xml:space="preserve">Строительно-монтажные работы</w:t>
            </w:r>
          </w:p>
        </w:tc>
        <w:tc>
          <w:tcPr>
            <w:tcW w:w="1830" w:type="dxa"/>
            <w:vAlign w:val="center"/>
            <w:tcBorders>
              <w:top w:val="single" w:sz="8" w:color="000000"/>
              <w:left w:val="single" w:sz="8" w:color="000000"/>
              <w:right w:val="single" w:sz="8" w:color="000000"/>
              <w:bottom w:val="single" w:sz="8" w:color="000000"/>
            </w:tcBorders>
            <w:shd w:val="clear" w:color="auto" w:fill="auto"/>
            <w:gridSpan w:val="2"/>
          </w:tcPr>
          <w:p>
            <w:pPr>
              <w:jc w:val="left"/>
              <w:ind w:left="24"/>
              <w:spacing w:before="0" w:after="0" w:line="331.2" w:lineRule="auto"/>
            </w:pPr>
            <w:r>
              <w:rPr>
                <w:rFonts w:ascii="Times New Roman" w:hAnsi="Times New Roman" w:eastAsia="Times New Roman" w:cs="Times New Roman"/>
                <w:sz w:val="24"/>
                <w:szCs w:val="24"/>
                <w:u w:val=""/>
              </w:rPr>
              <w:t xml:space="preserve">с НДС</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45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2400"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830" w:type="dxa"/>
            <w:vAlign w:val="center"/>
            <w:tcBorders>
              <w:top w:val="single" w:sz="8" w:color="000000"/>
              <w:left w:val="single" w:sz="8" w:color="000000"/>
              <w:right w:val="single" w:sz="8" w:color="000000"/>
              <w:bottom w:val="single" w:sz="8" w:color="000000"/>
            </w:tcBorders>
            <w:shd w:val="clear" w:color="auto" w:fill="auto"/>
            <w:gridSpan w:val="2"/>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285" w:hRule="atLeast"/>
        </w:trPr>
        <w:tc>
          <w:tcPr>
            <w:tcW w:w="45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16"/>
              <w:spacing w:before="0" w:after="0" w:line="331.2" w:lineRule="auto"/>
            </w:pPr>
            <w:r>
              <w:rPr>
                <w:rFonts w:ascii="Times New Roman" w:hAnsi="Times New Roman" w:eastAsia="Times New Roman" w:cs="Times New Roman"/>
                <w:sz w:val="24"/>
                <w:szCs w:val="24"/>
                <w:u w:val=""/>
              </w:rPr>
              <w:t xml:space="preserve">2.</w:t>
            </w:r>
          </w:p>
        </w:tc>
        <w:tc>
          <w:tcPr>
            <w:tcW w:w="4515" w:type="dxa"/>
            <w:vAlign w:val="center"/>
            <w:tcBorders>
              <w:top w:val="single" w:sz="8" w:color="000000"/>
              <w:left w:val="single" w:sz="8" w:color="000000"/>
              <w:right w:val="single" w:sz="8" w:color="000000"/>
              <w:bottom w:val="single" w:sz="8" w:color="000000"/>
            </w:tcBorders>
            <w:shd w:val="clear" w:color="auto" w:fill="auto"/>
            <w:gridSpan w:val="3"/>
          </w:tcPr>
          <w:p>
            <w:pPr>
              <w:jc w:val="left"/>
              <w:ind w:left="56"/>
              <w:spacing w:before="0" w:after="0" w:line="331.2" w:lineRule="auto"/>
            </w:pPr>
            <w:r>
              <w:rPr>
                <w:rFonts w:ascii="Times New Roman" w:hAnsi="Times New Roman" w:eastAsia="Times New Roman" w:cs="Times New Roman"/>
                <w:sz w:val="24"/>
                <w:szCs w:val="24"/>
                <w:u w:val=""/>
              </w:rPr>
              <w:t xml:space="preserve">Оборудование, машины и механизмы и т.п.</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center"/>
              <w:ind w:left="24"/>
              <w:spacing w:before="0" w:after="0" w:line="331.2" w:lineRule="auto"/>
            </w:pPr>
            <w:r>
              <w:rPr>
                <w:rFonts w:ascii="Times New Roman" w:hAnsi="Times New Roman" w:eastAsia="Times New Roman" w:cs="Times New Roman"/>
                <w:sz w:val="24"/>
                <w:szCs w:val="24"/>
                <w:u w:val=""/>
              </w:rPr>
              <w:t xml:space="preserve">с НДС и тамож. пошл.</w:t>
            </w:r>
          </w:p>
        </w:tc>
        <w:tc>
          <w:tcPr>
            <w:tcW w:w="840" w:type="dxa"/>
            <w:vAlign w:val="center"/>
            <w:tcBorders>
              <w:top w:val="single" w:sz="8" w:color="000000"/>
              <w:left w:val="single" w:sz="8" w:color="000000"/>
              <w:right w:val="single" w:sz="8" w:color="000000"/>
              <w:bottom w:val="single" w:sz="8" w:color="000000"/>
            </w:tcBorders>
            <w:shd w:val="clear" w:color="auto" w:fill="auto"/>
          </w:tcPr>
          <w:p>
            <w:pPr>
              <w:jc w:val="center"/>
              <w:ind w:left="24"/>
              <w:spacing w:before="0" w:after="0" w:line="331.2" w:lineRule="auto"/>
            </w:pPr>
            <w:r>
              <w:rPr>
                <w:rFonts w:ascii="Times New Roman" w:hAnsi="Times New Roman" w:eastAsia="Times New Roman" w:cs="Times New Roman"/>
                <w:sz w:val="24"/>
                <w:szCs w:val="24"/>
                <w:u w:val=""/>
              </w:rPr>
              <w:t xml:space="preserve">тамож.</w:t>
            </w:r>
          </w:p>
          <w:p>
            <w:pPr>
              <w:jc w:val="center"/>
              <w:ind w:left="24"/>
              <w:spacing w:before="0" w:after="0" w:line="331.2" w:lineRule="auto"/>
            </w:pPr>
            <w:r>
              <w:rPr>
                <w:rFonts w:ascii="Times New Roman" w:hAnsi="Times New Roman" w:eastAsia="Times New Roman" w:cs="Times New Roman"/>
                <w:sz w:val="24"/>
                <w:szCs w:val="24"/>
                <w:u w:val=""/>
              </w:rPr>
              <w:t xml:space="preserve">пошл.</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45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2400"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84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45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16"/>
              <w:spacing w:before="0" w:after="0" w:line="331.2" w:lineRule="auto"/>
            </w:pPr>
            <w:r>
              <w:rPr>
                <w:rFonts w:ascii="Times New Roman" w:hAnsi="Times New Roman" w:eastAsia="Times New Roman" w:cs="Times New Roman"/>
                <w:sz w:val="24"/>
                <w:szCs w:val="24"/>
                <w:u w:val=""/>
              </w:rPr>
              <w:t xml:space="preserve">3.</w:t>
            </w:r>
          </w:p>
        </w:tc>
        <w:tc>
          <w:tcPr>
            <w:tcW w:w="4515" w:type="dxa"/>
            <w:vAlign w:val="center"/>
            <w:tcBorders>
              <w:top w:val="single" w:sz="8" w:color="000000"/>
              <w:left w:val="single" w:sz="8" w:color="000000"/>
              <w:right w:val="single" w:sz="8" w:color="000000"/>
              <w:bottom w:val="single" w:sz="8" w:color="000000"/>
            </w:tcBorders>
            <w:shd w:val="clear" w:color="auto" w:fill="auto"/>
            <w:gridSpan w:val="3"/>
          </w:tcPr>
          <w:p>
            <w:pPr>
              <w:jc w:val="left"/>
              <w:ind w:left="56"/>
              <w:spacing w:before="0" w:after="0" w:line="331.2" w:lineRule="auto"/>
            </w:pPr>
            <w:r>
              <w:rPr>
                <w:rFonts w:ascii="Times New Roman" w:hAnsi="Times New Roman" w:eastAsia="Times New Roman" w:cs="Times New Roman"/>
                <w:sz w:val="24"/>
                <w:szCs w:val="24"/>
                <w:u w:val=""/>
              </w:rPr>
              <w:t xml:space="preserve">Прочие</w:t>
            </w:r>
          </w:p>
        </w:tc>
        <w:tc>
          <w:tcPr>
            <w:tcW w:w="1830" w:type="dxa"/>
            <w:vAlign w:val="center"/>
            <w:tcBorders>
              <w:top w:val="single" w:sz="8" w:color="000000"/>
              <w:left w:val="single" w:sz="8" w:color="000000"/>
              <w:right w:val="single" w:sz="8" w:color="000000"/>
              <w:bottom w:val="single" w:sz="8" w:color="000000"/>
            </w:tcBorders>
            <w:shd w:val="clear" w:color="auto" w:fill="auto"/>
            <w:gridSpan w:val="2"/>
          </w:tcPr>
          <w:p>
            <w:pPr>
              <w:jc w:val="left"/>
              <w:ind w:left="24"/>
              <w:spacing w:before="0" w:after="0" w:line="331.2" w:lineRule="auto"/>
            </w:pPr>
            <w:r>
              <w:rPr>
                <w:rFonts w:ascii="Times New Roman" w:hAnsi="Times New Roman" w:eastAsia="Times New Roman" w:cs="Times New Roman"/>
                <w:sz w:val="24"/>
                <w:szCs w:val="24"/>
                <w:u w:val=""/>
              </w:rPr>
              <w:t xml:space="preserve">с НДС</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45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2400"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830" w:type="dxa"/>
            <w:vAlign w:val="center"/>
            <w:tcBorders>
              <w:top w:val="single" w:sz="8" w:color="000000"/>
              <w:left w:val="single" w:sz="8" w:color="000000"/>
              <w:right w:val="single" w:sz="8" w:color="000000"/>
              <w:bottom w:val="single" w:sz="8" w:color="000000"/>
            </w:tcBorders>
            <w:shd w:val="clear" w:color="auto" w:fill="auto"/>
            <w:gridSpan w:val="2"/>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80" w:hRule="atLeast"/>
        </w:trPr>
        <w:tc>
          <w:tcPr>
            <w:tcW w:w="450"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4.</w:t>
            </w:r>
          </w:p>
        </w:tc>
        <w:tc>
          <w:tcPr>
            <w:tcW w:w="4515" w:type="dxa"/>
            <w:vAlign w:val="center"/>
            <w:tcBorders>
              <w:top w:val="single" w:sz="8" w:color="000000"/>
              <w:left w:val="single" w:sz="8" w:color="000000"/>
              <w:right w:val="single" w:sz="8" w:color="000000"/>
              <w:bottom w:val="single" w:sz="8" w:color="000000"/>
            </w:tcBorders>
            <w:shd w:val="clear" w:color="auto" w:fill="auto"/>
            <w:gridSpan w:val="3"/>
          </w:tcPr>
          <w:p>
            <w:pPr>
              <w:jc w:val="left"/>
              <w:ind w:left="56"/>
              <w:spacing w:before="0" w:after="0" w:line="331.2" w:lineRule="auto"/>
            </w:pPr>
            <w:r>
              <w:rPr>
                <w:rFonts w:ascii="Times New Roman" w:hAnsi="Times New Roman" w:eastAsia="Times New Roman" w:cs="Times New Roman"/>
                <w:sz w:val="24"/>
                <w:szCs w:val="24"/>
                <w:u w:val=""/>
              </w:rPr>
              <w:t xml:space="preserve">Всего капитальных затрат</w:t>
            </w:r>
          </w:p>
        </w:tc>
        <w:tc>
          <w:tcPr>
            <w:tcW w:w="1830" w:type="dxa"/>
            <w:vAlign w:val="center"/>
            <w:tcBorders>
              <w:top w:val="single" w:sz="8" w:color="000000"/>
              <w:left w:val="single" w:sz="8" w:color="000000"/>
              <w:right w:val="single" w:sz="8" w:color="000000"/>
              <w:bottom w:val="single" w:sz="8" w:color="000000"/>
            </w:tcBorders>
            <w:shd w:val="clear" w:color="auto" w:fill="auto"/>
            <w:gridSpan w:val="2"/>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33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bl>
    <w:p>
      <w:pPr>
        <w:jc w:val="both"/>
        <w:ind/>
        <w:spacing w:before="0" w:after="0" w:line="288" w:lineRule="auto"/>
      </w:pPr>
      <w:r>
        <w:rPr>
          <w:rFonts w:ascii="Times New Roman" w:hAnsi="Times New Roman" w:eastAsia="Times New Roman" w:cs="Times New Roman"/>
          <w:sz w:val="28"/>
          <w:szCs w:val="28"/>
          <w:u w:val=""/>
        </w:rPr>
        <w:t xml:space="preserve">В таблице указываются </w:t>
      </w:r>
      <w:r>
        <w:rPr>
          <w:rFonts w:ascii="Times New Roman" w:hAnsi="Times New Roman" w:eastAsia="Times New Roman" w:cs="Times New Roman"/>
          <w:sz w:val="28"/>
          <w:szCs w:val="28"/>
          <w:b/>
          <w:u w:val=""/>
        </w:rPr>
        <w:t xml:space="preserve">предстоящие затраты капитального характера</w:t>
      </w:r>
      <w:r>
        <w:rPr>
          <w:rFonts w:ascii="Times New Roman" w:hAnsi="Times New Roman" w:eastAsia="Times New Roman" w:cs="Times New Roman"/>
          <w:sz w:val="28"/>
          <w:szCs w:val="28"/>
          <w:u w:val=""/>
        </w:rPr>
        <w:t xml:space="preserve">. Стоимость затрат и их распределение по интервалам планирования должны соответствовать условиям платежа в контрактах (договорах), приведенных в Приложениях к бизнес-плану (при наличии данных контактов на момент составления бизнес-плана). Номер интервала ввода в эксплуатацию соответствует интервалу планирования, в котором соответствующий актив ставится на баланс и начинает амортизироваться.</w:t>
      </w:r>
    </w:p>
    <w:p>
      <w:pPr>
        <w:jc w:val="both"/>
        <w:ind/>
        <w:spacing w:before="0" w:after="0" w:line="288" w:lineRule="auto"/>
      </w:pPr>
      <w:r>
        <w:rPr>
          <w:rFonts w:ascii="Times New Roman" w:hAnsi="Times New Roman" w:eastAsia="Times New Roman" w:cs="Times New Roman"/>
          <w:sz w:val="28"/>
          <w:szCs w:val="28"/>
          <w:u w:val=""/>
        </w:rPr>
        <w:t xml:space="preserve">К прочим капитальным затратам относятся:</w:t>
      </w:r>
    </w:p>
    <w:p>
      <w:pPr>
        <w:jc w:val="both"/>
        <w:ind w:left="304"/>
        <w:spacing w:before="0" w:after="0" w:line="288" w:lineRule="auto"/>
        <w:numPr>
          <w:ilvl w:val="0"/>
          <w:numId w:val="103"/>
        </w:numPr>
        <w:rPr>
          <w:sz w:val="28"/>
          <w:szCs w:val="28"/>
          <w:u w:val=""/>
        </w:rPr>
      </w:pPr>
      <w:r>
        <w:rPr>
          <w:rFonts w:ascii="Times New Roman" w:hAnsi="Times New Roman" w:eastAsia="Times New Roman" w:cs="Times New Roman"/>
          <w:sz w:val="28"/>
          <w:szCs w:val="28"/>
          <w:u w:val=""/>
        </w:rPr>
        <w:t xml:space="preserve">проектно-изыскательские работы;</w:t>
      </w:r>
    </w:p>
    <w:p>
      <w:pPr>
        <w:jc w:val="both"/>
        <w:ind w:left="304"/>
        <w:spacing w:before="0" w:after="0" w:line="288" w:lineRule="auto"/>
        <w:numPr>
          <w:ilvl w:val="0"/>
          <w:numId w:val="103"/>
        </w:numPr>
        <w:rPr>
          <w:sz w:val="28"/>
          <w:szCs w:val="28"/>
          <w:u w:val=""/>
        </w:rPr>
      </w:pPr>
      <w:r>
        <w:rPr>
          <w:rFonts w:ascii="Times New Roman" w:hAnsi="Times New Roman" w:eastAsia="Times New Roman" w:cs="Times New Roman"/>
          <w:sz w:val="28"/>
          <w:szCs w:val="28"/>
          <w:u w:val=""/>
        </w:rPr>
        <w:t xml:space="preserve">услуги по оценке имущества, разработке/экспертизе бизнес-плана, строительному аудиту/техническому надзору;</w:t>
      </w:r>
    </w:p>
    <w:p>
      <w:pPr>
        <w:jc w:val="both"/>
        <w:ind w:left="304"/>
        <w:spacing w:before="0" w:after="0" w:line="288" w:lineRule="auto"/>
        <w:numPr>
          <w:ilvl w:val="0"/>
          <w:numId w:val="103"/>
        </w:numPr>
        <w:rPr>
          <w:sz w:val="28"/>
          <w:szCs w:val="28"/>
          <w:u w:val=""/>
        </w:rPr>
      </w:pPr>
      <w:r>
        <w:rPr>
          <w:rFonts w:ascii="Times New Roman" w:hAnsi="Times New Roman" w:eastAsia="Times New Roman" w:cs="Times New Roman"/>
          <w:sz w:val="28"/>
          <w:szCs w:val="28"/>
          <w:u w:val=""/>
        </w:rPr>
        <w:t xml:space="preserve">приобретение земельных участков и объектов природопользования;</w:t>
      </w:r>
    </w:p>
    <w:p>
      <w:pPr>
        <w:jc w:val="both"/>
        <w:ind w:left="304"/>
        <w:spacing w:before="0" w:after="0" w:line="288" w:lineRule="auto"/>
        <w:numPr>
          <w:ilvl w:val="0"/>
          <w:numId w:val="103"/>
        </w:numPr>
        <w:rPr>
          <w:sz w:val="28"/>
          <w:szCs w:val="28"/>
          <w:u w:val=""/>
        </w:rPr>
      </w:pPr>
      <w:r>
        <w:rPr>
          <w:rFonts w:ascii="Times New Roman" w:hAnsi="Times New Roman" w:eastAsia="Times New Roman" w:cs="Times New Roman"/>
          <w:sz w:val="28"/>
          <w:szCs w:val="28"/>
          <w:u w:val=""/>
        </w:rPr>
        <w:t xml:space="preserve">приобретение зданий, сооружений, объектов транспортного хозяйства;</w:t>
      </w:r>
    </w:p>
    <w:p>
      <w:pPr>
        <w:jc w:val="both"/>
        <w:ind w:left="304"/>
        <w:spacing w:before="0" w:after="0" w:line="288" w:lineRule="auto"/>
        <w:numPr>
          <w:ilvl w:val="0"/>
          <w:numId w:val="103"/>
        </w:numPr>
        <w:rPr>
          <w:sz w:val="28"/>
          <w:szCs w:val="28"/>
          <w:u w:val=""/>
        </w:rPr>
      </w:pPr>
      <w:r>
        <w:rPr>
          <w:rFonts w:ascii="Times New Roman" w:hAnsi="Times New Roman" w:eastAsia="Times New Roman" w:cs="Times New Roman"/>
          <w:sz w:val="28"/>
          <w:szCs w:val="28"/>
          <w:u w:val=""/>
        </w:rPr>
        <w:t xml:space="preserve">приобретение нематериальных активов;</w:t>
      </w:r>
    </w:p>
    <w:p>
      <w:pPr>
        <w:jc w:val="both"/>
        <w:ind w:left="304"/>
        <w:spacing w:before="0" w:after="0" w:line="288" w:lineRule="auto"/>
        <w:numPr>
          <w:ilvl w:val="0"/>
          <w:numId w:val="103"/>
        </w:numPr>
        <w:rPr>
          <w:sz w:val="28"/>
          <w:szCs w:val="28"/>
          <w:u w:val=""/>
        </w:rPr>
      </w:pPr>
      <w:r>
        <w:rPr>
          <w:rFonts w:ascii="Times New Roman" w:hAnsi="Times New Roman" w:eastAsia="Times New Roman" w:cs="Times New Roman"/>
          <w:sz w:val="28"/>
          <w:szCs w:val="28"/>
          <w:u w:val=""/>
        </w:rPr>
        <w:t xml:space="preserve">и т.п.</w:t>
      </w:r>
    </w:p>
    <w:p>
      <w:pPr>
        <w:jc w:val="both"/>
        <w:ind/>
        <w:spacing w:before="0" w:after="0" w:line="288" w:lineRule="auto"/>
      </w:pPr>
      <w:r>
        <w:rPr>
          <w:rFonts w:ascii="Times New Roman" w:hAnsi="Times New Roman" w:eastAsia="Times New Roman" w:cs="Times New Roman"/>
          <w:sz w:val="28"/>
          <w:szCs w:val="28"/>
          <w:b/>
          <w:u w:val=""/>
        </w:rPr>
        <w:t xml:space="preserve">При наличии осуществленных капитальных вложений </w:t>
      </w:r>
      <w:r>
        <w:br/>
      </w:r>
      <w:r>
        <w:rPr>
          <w:rFonts w:ascii="Times New Roman" w:hAnsi="Times New Roman" w:eastAsia="Times New Roman" w:cs="Times New Roman"/>
          <w:sz w:val="28"/>
          <w:szCs w:val="28"/>
          <w:u w:val=""/>
        </w:rPr>
        <w:t xml:space="preserve">и необходимости учета их амортизации в расчетах по проекту, они описываются в отдельной аналогичной таблице (без расшифровки </w:t>
      </w:r>
      <w:r>
        <w:br/>
      </w:r>
      <w:r>
        <w:rPr>
          <w:rFonts w:ascii="Times New Roman" w:hAnsi="Times New Roman" w:eastAsia="Times New Roman" w:cs="Times New Roman"/>
          <w:sz w:val="28"/>
          <w:szCs w:val="28"/>
          <w:u w:val=""/>
        </w:rPr>
        <w:t xml:space="preserve">по интервалам).</w:t>
      </w:r>
    </w:p>
    <w:p>
      <w:pPr>
        <w:jc w:val="both"/>
        <w:ind/>
        <w:spacing w:before="0" w:after="0" w:line="288" w:lineRule="auto"/>
      </w:pPr>
      <w:r>
        <w:rPr>
          <w:rFonts w:ascii="Times New Roman" w:hAnsi="Times New Roman" w:eastAsia="Times New Roman" w:cs="Times New Roman"/>
          <w:sz w:val="28"/>
          <w:szCs w:val="28"/>
          <w:u w:val=""/>
        </w:rPr>
        <w:t xml:space="preserve">Необходимо подтверждение сумм, осуществленных и предстоящих капитальных вложений путем проведения строительного аудита (осуществляет независимая надзорная компания).</w:t>
      </w:r>
    </w:p>
    <w:p>
      <w:pPr>
        <w:jc w:val="both"/>
        <w:ind w:left="192"/>
        <w:spacing w:before="0" w:after="0" w:line="288" w:lineRule="auto"/>
        <w:numPr>
          <w:ilvl w:val="2"/>
          <w:numId w:val="106"/>
        </w:numPr>
        <w:rPr>
          <w:sz w:val="28"/>
          <w:szCs w:val="28"/>
          <w:u w:val=""/>
        </w:rPr>
      </w:pPr>
      <w:r>
        <w:rPr>
          <w:rFonts w:ascii="Times New Roman" w:hAnsi="Times New Roman" w:eastAsia="Times New Roman" w:cs="Times New Roman"/>
          <w:sz w:val="28"/>
          <w:szCs w:val="28"/>
          <w:b/>
          <w:u w:val=""/>
        </w:rPr>
        <w:t xml:space="preserve">Обоснование потребности в оборотном капитале </w:t>
      </w:r>
      <w:r>
        <w:rPr>
          <w:rFonts w:ascii="Times New Roman" w:hAnsi="Times New Roman" w:eastAsia="Times New Roman" w:cs="Times New Roman"/>
          <w:sz w:val="28"/>
          <w:szCs w:val="28"/>
          <w:u w:val=""/>
        </w:rPr>
        <w:t xml:space="preserve">(указываются исходя из потребностей предприятия при работе на полную (проектную) мощность).</w:t>
      </w:r>
    </w:p>
    <w:tbl>
      <w:tblGrid>
        <w:gridCol w:w="420" w:type="dxa"/>
        <w:gridCol w:w="1695" w:type="dxa"/>
        <w:gridCol w:w="1275" w:type="dxa"/>
        <w:gridCol w:w="990" w:type="dxa"/>
        <w:gridCol w:w="1125" w:type="dxa"/>
        <w:gridCol w:w="990" w:type="dxa"/>
        <w:gridCol w:w="1125" w:type="dxa"/>
        <w:gridCol w:w="1125" w:type="dxa"/>
        <w:gridCol w:w="990" w:type="dxa"/>
      </w:tblGrid>
      <w:tblPr>
        <w:tblW w:w="9735" w:type="dxa"/>
        <w:tblBorders>
          <w:top w:val="" w:sz="6" w:color="999999"/>
          <w:left w:val="" w:sz="6" w:color="999999"/>
          <w:right w:val="" w:sz="6" w:color="999999"/>
          <w:bottom w:val="" w:sz="6" w:color="999999"/>
          <w:insideH w:val="" w:sz="6" w:color="999999"/>
          <w:insideV w:val="" w:sz="6" w:color="999999"/>
        </w:tblBorders>
        <w:tblInd w:w="" w:type="dxa"/>
      </w:tblPr>
      <w:tr>
        <w:trPr>
          <w:trHeight w:val="15" w:hRule="atLeast"/>
        </w:trPr>
        <w:tc>
          <w:tcPr>
            <w:tcW w:w="420"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center"/>
              <w:ind w:left="32"/>
              <w:spacing w:before="0" w:after="0" w:line="331.2" w:lineRule="auto"/>
            </w:pPr>
            <w:r>
              <w:rPr>
                <w:rFonts w:ascii="Times New Roman" w:hAnsi="Times New Roman" w:eastAsia="Times New Roman" w:cs="Times New Roman"/>
                <w:sz w:val="24"/>
                <w:szCs w:val="24"/>
                <w:u w:val=""/>
              </w:rPr>
              <w:t xml:space="preserve">Наименование нормируемых</w:t>
            </w:r>
          </w:p>
          <w:p>
            <w:pPr>
              <w:jc w:val="center"/>
              <w:ind w:left="32"/>
              <w:spacing w:before="0" w:after="0" w:line="331.2" w:lineRule="auto"/>
            </w:pPr>
            <w:r>
              <w:rPr>
                <w:rFonts w:ascii="Times New Roman" w:hAnsi="Times New Roman" w:eastAsia="Times New Roman" w:cs="Times New Roman"/>
                <w:sz w:val="24"/>
                <w:szCs w:val="24"/>
                <w:u w:val=""/>
              </w:rPr>
              <w:t xml:space="preserve">текущих активов </w:t>
            </w:r>
            <w:r>
              <w:br/>
            </w:r>
            <w:r>
              <w:rPr>
                <w:rFonts w:ascii="Times New Roman" w:hAnsi="Times New Roman" w:eastAsia="Times New Roman" w:cs="Times New Roman"/>
                <w:sz w:val="24"/>
                <w:szCs w:val="24"/>
                <w:u w:val=""/>
              </w:rPr>
              <w:t xml:space="preserve">и пассивов</w:t>
            </w:r>
          </w:p>
        </w:tc>
        <w:tc>
          <w:tcPr>
            <w:tcW w:w="2265" w:type="dxa"/>
            <w:vAlign w:val="center"/>
            <w:tcBorders>
              <w:top w:val="single" w:sz="8" w:color="000000"/>
              <w:left w:val="single" w:sz="8" w:color="000000"/>
              <w:right w:val="single" w:sz="8" w:color="000000"/>
              <w:bottom w:val="single" w:sz="8" w:color="000000"/>
            </w:tcBorders>
            <w:shd w:val="clear" w:color="auto" w:fill="auto"/>
            <w:gridSpan w:val="2"/>
          </w:tcPr>
          <w:p>
            <w:pPr>
              <w:jc w:val="center"/>
              <w:ind/>
              <w:spacing w:before="0" w:after="0" w:line="331.2" w:lineRule="auto"/>
            </w:pPr>
            <w:r>
              <w:rPr>
                <w:rFonts w:ascii="Times New Roman" w:hAnsi="Times New Roman" w:eastAsia="Times New Roman" w:cs="Times New Roman"/>
                <w:sz w:val="24"/>
                <w:szCs w:val="24"/>
                <w:u w:val=""/>
              </w:rPr>
              <w:t xml:space="preserve">Формирование </w:t>
            </w:r>
            <w:r>
              <w:br/>
            </w:r>
            <w:r>
              <w:rPr>
                <w:rFonts w:ascii="Times New Roman" w:hAnsi="Times New Roman" w:eastAsia="Times New Roman" w:cs="Times New Roman"/>
                <w:sz w:val="24"/>
                <w:szCs w:val="24"/>
                <w:u w:val=""/>
              </w:rPr>
              <w:t xml:space="preserve">запасов и резервов</w:t>
            </w:r>
          </w:p>
        </w:tc>
        <w:tc>
          <w:tcPr>
            <w:tcW w:w="4365" w:type="dxa"/>
            <w:vAlign w:val="center"/>
            <w:tcBorders>
              <w:top w:val="single" w:sz="8" w:color="000000"/>
              <w:left w:val="single" w:sz="8" w:color="000000"/>
              <w:right w:val="single" w:sz="8" w:color="000000"/>
              <w:bottom w:val="single" w:sz="8" w:color="000000"/>
            </w:tcBorders>
            <w:shd w:val="clear" w:color="auto" w:fill="auto"/>
            <w:gridSpan w:val="4"/>
          </w:tcPr>
          <w:p>
            <w:pPr>
              <w:jc w:val="center"/>
              <w:ind/>
              <w:spacing w:before="0" w:after="0" w:line="331.2" w:lineRule="auto"/>
            </w:pPr>
            <w:r>
              <w:rPr>
                <w:rFonts w:ascii="Times New Roman" w:hAnsi="Times New Roman" w:eastAsia="Times New Roman" w:cs="Times New Roman"/>
                <w:sz w:val="24"/>
                <w:szCs w:val="24"/>
                <w:u w:val=""/>
              </w:rPr>
              <w:t xml:space="preserve">Договорные условия </w:t>
            </w:r>
            <w:r>
              <w:br/>
            </w:r>
            <w:r>
              <w:rPr>
                <w:rFonts w:ascii="Times New Roman" w:hAnsi="Times New Roman" w:eastAsia="Times New Roman" w:cs="Times New Roman"/>
                <w:sz w:val="24"/>
                <w:szCs w:val="24"/>
                <w:u w:val=""/>
              </w:rPr>
              <w:t xml:space="preserve">поставок и оплаты</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center"/>
              <w:ind w:left="16"/>
              <w:spacing w:before="0" w:after="0" w:line="331.2" w:lineRule="auto"/>
            </w:pPr>
            <w:r>
              <w:rPr>
                <w:rFonts w:ascii="Times New Roman" w:hAnsi="Times New Roman" w:eastAsia="Times New Roman" w:cs="Times New Roman"/>
                <w:sz w:val="24"/>
                <w:szCs w:val="24"/>
                <w:u w:val=""/>
              </w:rPr>
              <w:t xml:space="preserve">Незавер- шенное произ-</w:t>
            </w:r>
          </w:p>
          <w:p>
            <w:pPr>
              <w:jc w:val="center"/>
              <w:ind w:left="16"/>
              <w:spacing w:before="0" w:after="0" w:line="331.2" w:lineRule="auto"/>
            </w:pPr>
            <w:r>
              <w:rPr>
                <w:rFonts w:ascii="Times New Roman" w:hAnsi="Times New Roman" w:eastAsia="Times New Roman" w:cs="Times New Roman"/>
                <w:sz w:val="24"/>
                <w:szCs w:val="24"/>
                <w:u w:val=""/>
              </w:rPr>
              <w:t xml:space="preserve">водство</w:t>
            </w:r>
          </w:p>
        </w:tc>
      </w:tr>
      <w:tr>
        <w:trPr>
          <w:trHeight w:val="15" w:hRule="atLeast"/>
        </w:trPr>
        <w:tc>
          <w:tcPr>
            <w:tcW w:w="42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16"/>
              <w:spacing w:before="0" w:after="0" w:line="331.2" w:lineRule="auto"/>
            </w:pPr>
            <w:r>
              <w:rPr>
                <w:rFonts w:ascii="Times New Roman" w:hAnsi="Times New Roman" w:eastAsia="Times New Roman" w:cs="Times New Roman"/>
                <w:sz w:val="24"/>
                <w:szCs w:val="24"/>
                <w:u w:val=""/>
              </w:rPr>
              <w:t xml:space="preserve">1.</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left="32"/>
              <w:spacing w:before="0" w:after="0" w:line="331.2" w:lineRule="auto"/>
            </w:pPr>
            <w:r>
              <w:rPr>
                <w:rFonts w:ascii="Times New Roman" w:hAnsi="Times New Roman" w:eastAsia="Times New Roman" w:cs="Times New Roman"/>
                <w:sz w:val="24"/>
                <w:szCs w:val="24"/>
                <w:u w:val=""/>
              </w:rPr>
              <w:t xml:space="preserve">Готовая продукция</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center"/>
              <w:ind w:left="24"/>
              <w:spacing w:before="0" w:after="0" w:line="331.2" w:lineRule="auto"/>
            </w:pPr>
            <w:r>
              <w:rPr>
                <w:rFonts w:ascii="Times New Roman" w:hAnsi="Times New Roman" w:eastAsia="Times New Roman" w:cs="Times New Roman"/>
                <w:sz w:val="24"/>
                <w:szCs w:val="24"/>
                <w:u w:val=""/>
              </w:rPr>
              <w:t xml:space="preserve">Страховой запас (дни)</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center"/>
              <w:ind w:left="24"/>
              <w:spacing w:before="0" w:after="0" w:line="331.2" w:lineRule="auto"/>
            </w:pPr>
            <w:r>
              <w:rPr>
                <w:rFonts w:ascii="Times New Roman" w:hAnsi="Times New Roman" w:eastAsia="Times New Roman" w:cs="Times New Roman"/>
                <w:sz w:val="24"/>
                <w:szCs w:val="24"/>
                <w:u w:val=""/>
              </w:rPr>
              <w:t xml:space="preserve">Период оборота (дни)</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Доля авансово-го платежа </w:t>
            </w:r>
            <w:r>
              <w:br/>
            </w:r>
            <w:r>
              <w:rPr>
                <w:rFonts w:ascii="Times New Roman" w:hAnsi="Times New Roman" w:eastAsia="Times New Roman" w:cs="Times New Roman"/>
                <w:sz w:val="24"/>
                <w:szCs w:val="24"/>
                <w:u w:val=""/>
              </w:rPr>
              <w:t xml:space="preserve">(%)</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Срок поставки (дни)</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center"/>
              <w:ind w:left="24"/>
              <w:spacing w:before="0" w:after="0" w:line="331.2" w:lineRule="auto"/>
            </w:pPr>
            <w:r>
              <w:rPr>
                <w:rFonts w:ascii="Times New Roman" w:hAnsi="Times New Roman" w:eastAsia="Times New Roman" w:cs="Times New Roman"/>
                <w:sz w:val="24"/>
                <w:szCs w:val="24"/>
                <w:u w:val=""/>
              </w:rPr>
              <w:t xml:space="preserve">Доля отсрочен-ного пла-</w:t>
            </w:r>
          </w:p>
          <w:p>
            <w:pPr>
              <w:jc w:val="center"/>
              <w:ind w:left="24"/>
              <w:spacing w:before="0" w:after="0" w:line="331.2" w:lineRule="auto"/>
            </w:pPr>
            <w:r>
              <w:rPr>
                <w:rFonts w:ascii="Times New Roman" w:hAnsi="Times New Roman" w:eastAsia="Times New Roman" w:cs="Times New Roman"/>
                <w:sz w:val="24"/>
                <w:szCs w:val="24"/>
                <w:u w:val=""/>
              </w:rPr>
              <w:t xml:space="preserve">тежа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center"/>
              <w:ind w:left="24"/>
              <w:spacing w:before="0" w:after="0" w:line="331.2" w:lineRule="auto"/>
            </w:pPr>
            <w:r>
              <w:rPr>
                <w:rFonts w:ascii="Times New Roman" w:hAnsi="Times New Roman" w:eastAsia="Times New Roman" w:cs="Times New Roman"/>
                <w:sz w:val="24"/>
                <w:szCs w:val="24"/>
                <w:u w:val=""/>
              </w:rPr>
              <w:t xml:space="preserve">Срок отсрочки платежа</w:t>
            </w:r>
          </w:p>
          <w:p>
            <w:pPr>
              <w:jc w:val="center"/>
              <w:ind w:left="24"/>
              <w:spacing w:before="0" w:after="0" w:line="331.2" w:lineRule="auto"/>
            </w:pPr>
            <w:r>
              <w:rPr>
                <w:rFonts w:ascii="Times New Roman" w:hAnsi="Times New Roman" w:eastAsia="Times New Roman" w:cs="Times New Roman"/>
                <w:sz w:val="24"/>
                <w:szCs w:val="24"/>
                <w:u w:val=""/>
              </w:rPr>
              <w:t xml:space="preserve">(дни)</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center"/>
              <w:ind w:left="24"/>
              <w:spacing w:before="0" w:after="0" w:line="331.2" w:lineRule="auto"/>
            </w:pPr>
            <w:r>
              <w:rPr>
                <w:rFonts w:ascii="Times New Roman" w:hAnsi="Times New Roman" w:eastAsia="Times New Roman" w:cs="Times New Roman"/>
                <w:sz w:val="24"/>
                <w:szCs w:val="24"/>
                <w:u w:val=""/>
              </w:rPr>
              <w:t xml:space="preserve">Цикл произ-водства (дни)</w:t>
            </w:r>
          </w:p>
        </w:tc>
      </w:tr>
      <w:tr>
        <w:trPr>
          <w:trHeight w:val="15" w:hRule="atLeast"/>
        </w:trPr>
        <w:tc>
          <w:tcPr>
            <w:tcW w:w="42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r>
      <w:tr>
        <w:trPr>
          <w:trHeight w:val="15" w:hRule="atLeast"/>
        </w:trPr>
        <w:tc>
          <w:tcPr>
            <w:tcW w:w="42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16"/>
              <w:spacing w:before="0" w:after="0" w:line="331.2" w:lineRule="auto"/>
            </w:pPr>
            <w:r>
              <w:rPr>
                <w:rFonts w:ascii="Times New Roman" w:hAnsi="Times New Roman" w:eastAsia="Times New Roman" w:cs="Times New Roman"/>
                <w:sz w:val="24"/>
                <w:szCs w:val="24"/>
                <w:u w:val=""/>
              </w:rPr>
              <w:t xml:space="preserve">2.</w:t>
            </w: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Прямые материальные затраты</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center"/>
              <w:ind w:left="24"/>
              <w:spacing w:before="0" w:after="0" w:line="331.2" w:lineRule="auto"/>
            </w:pPr>
            <w:r>
              <w:rPr>
                <w:rFonts w:ascii="Times New Roman" w:hAnsi="Times New Roman" w:eastAsia="Times New Roman" w:cs="Times New Roman"/>
                <w:sz w:val="24"/>
                <w:szCs w:val="24"/>
                <w:u w:val=""/>
              </w:rPr>
              <w:t xml:space="preserve">Страховой запас (дни)</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center"/>
              <w:ind w:left="24"/>
              <w:spacing w:before="0" w:after="0" w:line="331.2" w:lineRule="auto"/>
            </w:pPr>
            <w:r>
              <w:rPr>
                <w:rFonts w:ascii="Times New Roman" w:hAnsi="Times New Roman" w:eastAsia="Times New Roman" w:cs="Times New Roman"/>
                <w:sz w:val="24"/>
                <w:szCs w:val="24"/>
                <w:u w:val=""/>
              </w:rPr>
              <w:t xml:space="preserve">Период оборота (дни)</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Доля авансово-го платежа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center"/>
              <w:ind/>
              <w:spacing w:before="0" w:after="0" w:line="331.2" w:lineRule="auto"/>
            </w:pPr>
            <w:r>
              <w:rPr>
                <w:rFonts w:ascii="Times New Roman" w:hAnsi="Times New Roman" w:eastAsia="Times New Roman" w:cs="Times New Roman"/>
                <w:sz w:val="24"/>
                <w:szCs w:val="24"/>
                <w:u w:val=""/>
              </w:rPr>
              <w:t xml:space="preserve">Срок поставки (дни)</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center"/>
              <w:ind w:left="24"/>
              <w:spacing w:before="0" w:after="0" w:line="331.2" w:lineRule="auto"/>
            </w:pPr>
            <w:r>
              <w:rPr>
                <w:rFonts w:ascii="Times New Roman" w:hAnsi="Times New Roman" w:eastAsia="Times New Roman" w:cs="Times New Roman"/>
                <w:sz w:val="24"/>
                <w:szCs w:val="24"/>
                <w:u w:val=""/>
              </w:rPr>
              <w:t xml:space="preserve">Доля отсрочен- ного пла-</w:t>
            </w:r>
          </w:p>
          <w:p>
            <w:pPr>
              <w:jc w:val="center"/>
              <w:ind w:left="24"/>
              <w:spacing w:before="0" w:after="0" w:line="331.2" w:lineRule="auto"/>
            </w:pPr>
            <w:r>
              <w:rPr>
                <w:rFonts w:ascii="Times New Roman" w:hAnsi="Times New Roman" w:eastAsia="Times New Roman" w:cs="Times New Roman"/>
                <w:sz w:val="24"/>
                <w:szCs w:val="24"/>
                <w:u w:val=""/>
              </w:rPr>
              <w:t xml:space="preserve">тежа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center"/>
              <w:ind w:left="24"/>
              <w:spacing w:before="0" w:after="0" w:line="331.2" w:lineRule="auto"/>
            </w:pPr>
            <w:r>
              <w:rPr>
                <w:rFonts w:ascii="Times New Roman" w:hAnsi="Times New Roman" w:eastAsia="Times New Roman" w:cs="Times New Roman"/>
                <w:sz w:val="24"/>
                <w:szCs w:val="24"/>
                <w:u w:val=""/>
              </w:rPr>
              <w:t xml:space="preserve">Срок отсрочки платежа</w:t>
            </w:r>
          </w:p>
          <w:p>
            <w:pPr>
              <w:jc w:val="center"/>
              <w:ind w:left="24"/>
              <w:spacing w:before="0" w:after="0" w:line="331.2" w:lineRule="auto"/>
            </w:pPr>
            <w:r>
              <w:rPr>
                <w:rFonts w:ascii="Times New Roman" w:hAnsi="Times New Roman" w:eastAsia="Times New Roman" w:cs="Times New Roman"/>
                <w:sz w:val="24"/>
                <w:szCs w:val="24"/>
                <w:u w:val=""/>
              </w:rPr>
              <w:t xml:space="preserve">(дни)</w:t>
            </w:r>
          </w:p>
        </w:tc>
        <w:tc>
          <w:tcPr>
            <w:tcW w:w="990" w:type="dxa"/>
            <w:vAlign w:val="center"/>
            <w:tcBorders>
              <w:top w:val="single" w:sz="8" w:color="000000"/>
              <w:left w:val="single" w:sz="8" w:color="000000"/>
            </w:tcBorders>
            <w:shd w:val="clear" w:color="auto" w:fill="auto"/>
            <w:vMerge w:val="restart"/>
          </w:tcPr>
          <w:p>
            <w:pPr>
              <w:jc w:val="left"/>
              <w:ind/>
              <w:spacing w:before="0" w:after="0" w:line="432" w:lineRule="auto"/>
            </w:pPr>
            <w:r>
              <w:rPr>
                <w:sz w:val="24"/>
                <w:szCs w:val="24"/>
                <w:u w:val=""/>
              </w:rPr>
              <w:t xml:space="preserve"> </w:t>
            </w:r>
          </w:p>
        </w:tc>
      </w:tr>
      <w:tr>
        <w:trPr>
          <w:trHeight w:val="15" w:hRule="atLeast"/>
        </w:trPr>
        <w:tc>
          <w:tcPr>
            <w:tcW w:w="42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1695" w:type="dxa"/>
            <w:vAlign w:val="center"/>
            <w:tcBorders>
              <w:top w:val="single" w:sz="8" w:color="000000"/>
              <w:left w:val="single" w:sz="8" w:color="000000"/>
              <w:right w:val="single" w:sz="8" w:color="000000"/>
              <w:bottom w:val="single" w:sz="8" w:color="000000"/>
            </w:tcBorders>
            <w:shd w:val="clear" w:color="auto" w:fill="auto"/>
          </w:tcPr>
          <w:p>
            <w:pPr>
              <w:jc w:val="left"/>
              <w:ind w:left="56"/>
              <w:spacing w:before="0" w:after="0" w:line="331.2" w:lineRule="auto"/>
            </w:pPr>
            <w:r>
              <w:rPr>
                <w:rFonts w:ascii="Times New Roman" w:hAnsi="Times New Roman" w:eastAsia="Times New Roman" w:cs="Times New Roman"/>
                <w:sz w:val="24"/>
                <w:szCs w:val="24"/>
                <w:u w:val=""/>
              </w:rPr>
              <w:t xml:space="preserve">…</w:t>
            </w:r>
          </w:p>
        </w:tc>
        <w:tc>
          <w:tcPr>
            <w:tcW w:w="127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1125" w:type="dxa"/>
            <w:vAlign w:val="center"/>
            <w:tcBorders>
              <w:top w:val="single" w:sz="8" w:color="000000"/>
              <w:left w:val="single" w:sz="8" w:color="000000"/>
              <w:right w:val="single" w:sz="8" w:color="000000"/>
              <w:bottom w:val="single" w:sz="8" w:color="000000"/>
            </w:tcBorders>
            <w:shd w:val="clear" w:color="auto" w:fill="auto"/>
          </w:tcPr>
          <w:p>
            <w:pPr>
              <w:jc w:val="left"/>
              <w:ind/>
              <w:spacing w:before="0" w:after="0" w:line="432" w:lineRule="auto"/>
            </w:pPr>
            <w:r>
              <w:rPr>
                <w:sz w:val="24"/>
                <w:szCs w:val="24"/>
                <w:u w:val=""/>
              </w:rPr>
              <w:t xml:space="preserve"> </w:t>
            </w:r>
          </w:p>
        </w:tc>
        <w:tc>
          <w:tcPr>
            <w:tcW w:w="990" w:type="dxa"/>
            <w:vAlign w:val="center"/>
            <w:tcBorders>
              <w:top w:val="single" w:sz="8" w:color="000000"/>
              <w:left w:val="single" w:sz="8" w:color="000000"/>
            </w:tcBorders>
            <w:shd w:val="clear" w:color="auto" w:fill="auto"/>
            <w:vMerge w:val="continue"/>
          </w:tcPr>
          <w:p>
            <w:pPr>
              <w:jc w:val="left"/>
              <w:ind/>
              <w:spacing w:before="0" w:after="0" w:line="432" w:lineRule="auto"/>
            </w:pPr>
          </w:p>
        </w:tc>
      </w:tr>
      <w:tr>
        <w:trPr>
          <w:trHeight w:val="15" w:hRule="atLeast"/>
        </w:trPr>
        <w:tc>
          <w:tcPr>
            <w:tcW w:w="42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16"/>
              <w:spacing w:before="0" w:after="0" w:line="331.2" w:lineRule="auto"/>
            </w:pPr>
            <w:r>
              <w:rPr>
                <w:rFonts w:ascii="Times New Roman" w:hAnsi="Times New Roman" w:eastAsia="Times New Roman" w:cs="Times New Roman"/>
                <w:sz w:val="24"/>
                <w:szCs w:val="24"/>
                <w:u w:val=""/>
              </w:rPr>
              <w:t xml:space="preserve">3.</w:t>
            </w:r>
          </w:p>
        </w:tc>
        <w:tc>
          <w:tcPr>
            <w:tcW w:w="1695" w:type="dxa"/>
            <w:vAlign w:val="center"/>
            <w:tcBorders>
              <w:top w:val="single" w:sz="8" w:color="000000"/>
              <w:left w:val="single" w:sz="8" w:color="000000"/>
              <w:right w:val="single" w:sz="8" w:color="000000"/>
              <w:bottom w:val="single" w:sz="8" w:color="000000"/>
            </w:tcBorders>
            <w:shd w:val="clear" w:color="auto" w:fill="auto"/>
            <w:vMerge w:val="restart"/>
          </w:tcPr>
          <w:p>
            <w:pPr>
              <w:jc w:val="left"/>
              <w:ind w:left="56"/>
              <w:spacing w:before="0" w:after="0" w:line="331.2" w:lineRule="auto"/>
            </w:pPr>
            <w:r>
              <w:rPr>
                <w:rFonts w:ascii="Times New Roman" w:hAnsi="Times New Roman" w:eastAsia="Times New Roman" w:cs="Times New Roman"/>
                <w:sz w:val="24"/>
                <w:szCs w:val="24"/>
                <w:u w:val=""/>
              </w:rPr>
              <w:t xml:space="preserve">Накладные  расходы</w:t>
            </w:r>
          </w:p>
        </w:tc>
        <w:tc>
          <w:tcPr>
            <w:tcW w:w="2265" w:type="dxa"/>
            <w:vAlign w:val="center"/>
            <w:tcBorders>
              <w:top w:val="single" w:sz="8" w:color="000000"/>
              <w:left w:val="single" w:sz="8" w:color="000000"/>
              <w:right w:val="single" w:sz="8" w:color="000000"/>
              <w:bottom w:val="single" w:sz="8" w:color="000000"/>
            </w:tcBorders>
            <w:shd w:val="clear" w:color="auto" w:fill="auto"/>
            <w:gridSpan w:val="2"/>
          </w:tcPr>
          <w:p>
            <w:pPr>
              <w:jc w:val="center"/>
              <w:ind w:left="24"/>
              <w:spacing w:before="0" w:after="0" w:line="331.2" w:lineRule="auto"/>
            </w:pPr>
            <w:r>
              <w:rPr>
                <w:rFonts w:ascii="Times New Roman" w:hAnsi="Times New Roman" w:eastAsia="Times New Roman" w:cs="Times New Roman"/>
                <w:sz w:val="24"/>
                <w:szCs w:val="24"/>
                <w:u w:val=""/>
              </w:rPr>
              <w:t xml:space="preserve">Резерв денежных средств (дни)</w:t>
            </w:r>
          </w:p>
        </w:tc>
        <w:tc>
          <w:tcPr>
            <w:tcW w:w="5355" w:type="dxa"/>
            <w:vAlign w:val="center"/>
            <w:tcBorders>
              <w:left w:val="single" w:sz="8" w:color="000000"/>
            </w:tcBorders>
            <w:shd w:val="clear" w:color="auto" w:fill="auto"/>
            <w:gridSpan w:val="5"/>
            <w:vMerge w:val="restart"/>
          </w:tcPr>
          <w:p>
            <w:pPr>
              <w:jc w:val="left"/>
              <w:ind/>
              <w:spacing w:before="0" w:after="0" w:line="432" w:lineRule="auto"/>
            </w:pPr>
            <w:r>
              <w:rPr>
                <w:sz w:val="24"/>
                <w:szCs w:val="24"/>
                <w:u w:val=""/>
              </w:rPr>
              <w:t xml:space="preserve"> </w:t>
            </w:r>
          </w:p>
        </w:tc>
      </w:tr>
      <w:tr>
        <w:trPr>
          <w:trHeight w:val="15" w:hRule="atLeast"/>
        </w:trPr>
        <w:tc>
          <w:tcPr>
            <w:tcW w:w="42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169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2265" w:type="dxa"/>
            <w:vAlign w:val="center"/>
            <w:tcBorders>
              <w:top w:val="single" w:sz="8" w:color="000000"/>
              <w:left w:val="single" w:sz="8" w:color="000000"/>
              <w:right w:val="single" w:sz="8" w:color="000000"/>
              <w:bottom w:val="single" w:sz="8" w:color="000000"/>
            </w:tcBorders>
            <w:shd w:val="clear" w:color="auto" w:fill="auto"/>
            <w:gridSpan w:val="2"/>
          </w:tcPr>
          <w:p>
            <w:pPr>
              <w:jc w:val="left"/>
              <w:ind/>
              <w:spacing w:before="0" w:after="0" w:line="432" w:lineRule="auto"/>
            </w:pPr>
            <w:r>
              <w:rPr>
                <w:sz w:val="24"/>
                <w:szCs w:val="24"/>
                <w:u w:val=""/>
              </w:rPr>
              <w:t xml:space="preserve"> </w:t>
            </w:r>
          </w:p>
        </w:tc>
        <w:tc>
          <w:tcPr>
            <w:tcW w:w="1125" w:type="dxa"/>
            <w:vAlign w:val="center"/>
            <w:tcBorders>
              <w:left w:val="single" w:sz="8" w:color="000000"/>
            </w:tcBorders>
            <w:shd w:val="clear" w:color="auto" w:fill="auto"/>
            <w:gridSpan w:val="5"/>
            <w:vMerge w:val="continue"/>
          </w:tcPr>
          <w:p>
            <w:pPr>
              <w:jc w:val="left"/>
              <w:ind/>
              <w:spacing w:before="0" w:after="0" w:line="432" w:lineRule="auto"/>
            </w:pPr>
          </w:p>
        </w:tc>
      </w:tr>
      <w:tr>
        <w:trPr>
          <w:trHeight w:val="15" w:hRule="atLeast"/>
        </w:trPr>
        <w:tc>
          <w:tcPr>
            <w:tcW w:w="420" w:type="dxa"/>
            <w:vAlign w:val="center"/>
            <w:tcBorders>
              <w:top w:val="single" w:sz="8" w:color="000000"/>
              <w:left w:val="single" w:sz="8" w:color="000000"/>
              <w:right w:val="single" w:sz="8" w:color="000000"/>
              <w:bottom w:val="single" w:sz="8" w:color="000000"/>
            </w:tcBorders>
            <w:shd w:val="clear" w:color="auto" w:fill="auto"/>
            <w:vMerge w:val="restart"/>
          </w:tcPr>
          <w:p>
            <w:pPr>
              <w:jc w:val="center"/>
              <w:ind w:left="16"/>
              <w:spacing w:before="0" w:after="0" w:line="331.2" w:lineRule="auto"/>
            </w:pPr>
            <w:r>
              <w:rPr>
                <w:rFonts w:ascii="Times New Roman" w:hAnsi="Times New Roman" w:eastAsia="Times New Roman" w:cs="Times New Roman"/>
                <w:sz w:val="24"/>
                <w:szCs w:val="24"/>
                <w:u w:val=""/>
              </w:rPr>
              <w:t xml:space="preserve">4.</w:t>
            </w:r>
          </w:p>
        </w:tc>
        <w:tc>
          <w:tcPr>
            <w:tcW w:w="1695" w:type="dxa"/>
            <w:vAlign w:val="center"/>
            <w:tcBorders>
              <w:top w:val="single" w:sz="8" w:color="000000"/>
              <w:left w:val="single" w:sz="8" w:color="000000"/>
              <w:right w:val="single" w:sz="8" w:color="000000"/>
              <w:bottom w:val="single" w:sz="8" w:color="000000"/>
            </w:tcBorders>
            <w:shd w:val="clear" w:color="auto" w:fill="auto"/>
            <w:vMerge w:val="restart"/>
          </w:tcPr>
          <w:p>
            <w:pPr>
              <w:jc w:val="left"/>
              <w:ind w:left="56"/>
              <w:spacing w:before="0" w:after="0" w:line="331.2" w:lineRule="auto"/>
            </w:pPr>
            <w:r>
              <w:rPr>
                <w:rFonts w:ascii="Times New Roman" w:hAnsi="Times New Roman" w:eastAsia="Times New Roman" w:cs="Times New Roman"/>
                <w:sz w:val="24"/>
                <w:szCs w:val="24"/>
                <w:u w:val=""/>
              </w:rPr>
              <w:t xml:space="preserve">Заработная плата</w:t>
            </w:r>
          </w:p>
        </w:tc>
        <w:tc>
          <w:tcPr>
            <w:tcW w:w="2265" w:type="dxa"/>
            <w:vAlign w:val="center"/>
            <w:tcBorders>
              <w:top w:val="single" w:sz="8" w:color="000000"/>
              <w:left w:val="single" w:sz="8" w:color="000000"/>
              <w:right w:val="single" w:sz="8" w:color="000000"/>
              <w:bottom w:val="single" w:sz="8" w:color="000000"/>
            </w:tcBorders>
            <w:shd w:val="clear" w:color="auto" w:fill="auto"/>
            <w:gridSpan w:val="2"/>
          </w:tcPr>
          <w:p>
            <w:pPr>
              <w:jc w:val="center"/>
              <w:ind w:left="24"/>
              <w:spacing w:before="0" w:after="0" w:line="331.2" w:lineRule="auto"/>
            </w:pPr>
            <w:r>
              <w:rPr>
                <w:rFonts w:ascii="Times New Roman" w:hAnsi="Times New Roman" w:eastAsia="Times New Roman" w:cs="Times New Roman"/>
                <w:sz w:val="24"/>
                <w:szCs w:val="24"/>
                <w:u w:val=""/>
              </w:rPr>
              <w:t xml:space="preserve">Период выплаты</w:t>
            </w:r>
          </w:p>
          <w:p>
            <w:pPr>
              <w:jc w:val="center"/>
              <w:ind w:left="24"/>
              <w:spacing w:before="0" w:after="0" w:line="331.2" w:lineRule="auto"/>
            </w:pPr>
            <w:r>
              <w:rPr>
                <w:rFonts w:ascii="Times New Roman" w:hAnsi="Times New Roman" w:eastAsia="Times New Roman" w:cs="Times New Roman"/>
                <w:sz w:val="24"/>
                <w:szCs w:val="24"/>
                <w:u w:val=""/>
              </w:rPr>
              <w:t xml:space="preserve">(раз/мес.)</w:t>
            </w:r>
          </w:p>
        </w:tc>
        <w:tc>
          <w:tcPr>
            <w:tcW w:w="1125" w:type="dxa"/>
            <w:vAlign w:val="center"/>
            <w:tcBorders>
              <w:left w:val="single" w:sz="8" w:color="000000"/>
            </w:tcBorders>
            <w:shd w:val="clear" w:color="auto" w:fill="auto"/>
            <w:gridSpan w:val="5"/>
            <w:vMerge w:val="continue"/>
          </w:tcPr>
          <w:p>
            <w:pPr>
              <w:jc w:val="left"/>
              <w:ind/>
              <w:spacing w:before="0" w:after="0" w:line="432" w:lineRule="auto"/>
            </w:pPr>
          </w:p>
        </w:tc>
      </w:tr>
      <w:tr>
        <w:trPr>
          <w:trHeight w:val="15" w:hRule="atLeast"/>
        </w:trPr>
        <w:tc>
          <w:tcPr>
            <w:tcW w:w="420"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1695" w:type="dxa"/>
            <w:vAlign w:val="center"/>
            <w:tcBorders>
              <w:top w:val="single" w:sz="8" w:color="000000"/>
              <w:left w:val="single" w:sz="8" w:color="000000"/>
              <w:right w:val="single" w:sz="8" w:color="000000"/>
              <w:bottom w:val="single" w:sz="8" w:color="000000"/>
            </w:tcBorders>
            <w:shd w:val="clear" w:color="auto" w:fill="auto"/>
            <w:vMerge w:val="continue"/>
          </w:tcPr>
          <w:p>
            <w:pPr>
              <w:jc w:val="left"/>
              <w:ind/>
              <w:spacing w:before="0" w:after="0" w:line="432" w:lineRule="auto"/>
            </w:pPr>
          </w:p>
        </w:tc>
        <w:tc>
          <w:tcPr>
            <w:tcW w:w="2265" w:type="dxa"/>
            <w:vAlign w:val="center"/>
            <w:tcBorders>
              <w:top w:val="single" w:sz="8" w:color="000000"/>
              <w:left w:val="single" w:sz="8" w:color="000000"/>
              <w:right w:val="single" w:sz="8" w:color="000000"/>
              <w:bottom w:val="single" w:sz="8" w:color="000000"/>
            </w:tcBorders>
            <w:shd w:val="clear" w:color="auto" w:fill="auto"/>
            <w:gridSpan w:val="2"/>
          </w:tcPr>
          <w:p>
            <w:pPr>
              <w:jc w:val="left"/>
              <w:ind/>
              <w:spacing w:before="0" w:after="0" w:line="432" w:lineRule="auto"/>
            </w:pPr>
            <w:r>
              <w:rPr>
                <w:sz w:val="24"/>
                <w:szCs w:val="24"/>
                <w:u w:val=""/>
              </w:rPr>
              <w:t xml:space="preserve"> </w:t>
            </w:r>
          </w:p>
        </w:tc>
        <w:tc>
          <w:tcPr>
            <w:tcW w:w="1125" w:type="dxa"/>
            <w:vAlign w:val="center"/>
            <w:tcBorders>
              <w:left w:val="single" w:sz="8" w:color="000000"/>
            </w:tcBorders>
            <w:shd w:val="clear" w:color="auto" w:fill="auto"/>
            <w:gridSpan w:val="5"/>
            <w:vMerge w:val="continue"/>
          </w:tcPr>
          <w:p>
            <w:pPr>
              <w:jc w:val="left"/>
              <w:ind/>
              <w:spacing w:before="0" w:after="0" w:line="432" w:lineRule="auto"/>
            </w:pPr>
          </w:p>
        </w:tc>
      </w:tr>
    </w:tbl>
    <w:p>
      <w:pPr>
        <w:jc w:val="both"/>
        <w:ind/>
        <w:spacing w:before="0" w:after="0" w:line="288" w:lineRule="auto"/>
      </w:pPr>
      <w:r>
        <w:rPr>
          <w:rFonts w:ascii="Times New Roman" w:hAnsi="Times New Roman" w:eastAsia="Times New Roman" w:cs="Times New Roman"/>
          <w:sz w:val="28"/>
          <w:szCs w:val="28"/>
          <w:u w:val=""/>
        </w:rPr>
        <w:t xml:space="preserve">Показатели проекта, объединенные в данной таблице, используются </w:t>
      </w:r>
      <w:r>
        <w:br/>
      </w:r>
      <w:r>
        <w:rPr>
          <w:rFonts w:ascii="Times New Roman" w:hAnsi="Times New Roman" w:eastAsia="Times New Roman" w:cs="Times New Roman"/>
          <w:sz w:val="28"/>
          <w:szCs w:val="28"/>
          <w:u w:val=""/>
        </w:rPr>
        <w:t xml:space="preserve">для построения платежного цикла проекта, включающего в себя этапы закупок, транспортировки, хранения, производства и продаж, а также оценки на его основе потребности проекта в оборотных средствах.</w:t>
      </w:r>
    </w:p>
    <w:p>
      <w:pPr>
        <w:jc w:val="both"/>
        <w:ind/>
        <w:spacing w:before="0" w:after="0" w:line="288" w:lineRule="auto"/>
      </w:pPr>
      <w:r>
        <w:rPr>
          <w:rFonts w:ascii="Times New Roman" w:hAnsi="Times New Roman" w:eastAsia="Times New Roman" w:cs="Times New Roman"/>
          <w:sz w:val="28"/>
          <w:szCs w:val="28"/>
          <w:b/>
          <w:u w:val=""/>
        </w:rPr>
        <w:t xml:space="preserve">Готовая продукция </w:t>
      </w:r>
      <w:r>
        <w:rPr>
          <w:rFonts w:ascii="Times New Roman" w:hAnsi="Times New Roman" w:eastAsia="Times New Roman" w:cs="Times New Roman"/>
          <w:sz w:val="28"/>
          <w:szCs w:val="28"/>
          <w:u w:val=""/>
        </w:rPr>
        <w:t xml:space="preserve">(с детализацией по видам выпускаемой продукции)</w:t>
      </w:r>
      <w:r>
        <w:rPr>
          <w:rFonts w:ascii="Times New Roman" w:hAnsi="Times New Roman" w:eastAsia="Times New Roman" w:cs="Times New Roman"/>
          <w:sz w:val="28"/>
          <w:szCs w:val="28"/>
          <w:b/>
          <w:u w:val=""/>
        </w:rPr>
        <w:t xml:space="preserve">:</w:t>
      </w:r>
    </w:p>
    <w:p>
      <w:pPr>
        <w:jc w:val="both"/>
        <w:ind w:left="304"/>
        <w:spacing w:before="0" w:after="0" w:line="288" w:lineRule="auto"/>
        <w:numPr>
          <w:ilvl w:val="0"/>
          <w:numId w:val="107"/>
        </w:numPr>
        <w:rPr>
          <w:sz w:val="28"/>
          <w:szCs w:val="28"/>
          <w:u w:val=""/>
        </w:rPr>
      </w:pPr>
      <w:r>
        <w:rPr>
          <w:rFonts w:ascii="Times New Roman" w:hAnsi="Times New Roman" w:eastAsia="Times New Roman" w:cs="Times New Roman"/>
          <w:sz w:val="28"/>
          <w:szCs w:val="28"/>
          <w:u w:val=""/>
        </w:rPr>
        <w:t xml:space="preserve">период оборота (дни)- средний период отгрузки покупателям месячного объема производства со склада предприятия;</w:t>
      </w:r>
    </w:p>
    <w:p>
      <w:pPr>
        <w:jc w:val="both"/>
        <w:ind w:left="304"/>
        <w:spacing w:before="0" w:after="0" w:line="288" w:lineRule="auto"/>
        <w:numPr>
          <w:ilvl w:val="0"/>
          <w:numId w:val="107"/>
        </w:numPr>
        <w:rPr>
          <w:sz w:val="28"/>
          <w:szCs w:val="28"/>
          <w:u w:val=""/>
        </w:rPr>
      </w:pPr>
      <w:r>
        <w:rPr>
          <w:rFonts w:ascii="Times New Roman" w:hAnsi="Times New Roman" w:eastAsia="Times New Roman" w:cs="Times New Roman"/>
          <w:sz w:val="28"/>
          <w:szCs w:val="28"/>
          <w:u w:val=""/>
        </w:rPr>
        <w:t xml:space="preserve">срок поставки (дни) - средний срок поставки покупателям готовой продукции после получения аванса (предоплаты);</w:t>
      </w:r>
    </w:p>
    <w:p>
      <w:pPr>
        <w:jc w:val="both"/>
        <w:ind w:left="304"/>
        <w:spacing w:before="0" w:after="0" w:line="288" w:lineRule="auto"/>
        <w:numPr>
          <w:ilvl w:val="0"/>
          <w:numId w:val="107"/>
        </w:numPr>
        <w:rPr>
          <w:sz w:val="28"/>
          <w:szCs w:val="28"/>
          <w:u w:val=""/>
        </w:rPr>
      </w:pPr>
      <w:r>
        <w:rPr>
          <w:rFonts w:ascii="Times New Roman" w:hAnsi="Times New Roman" w:eastAsia="Times New Roman" w:cs="Times New Roman"/>
          <w:sz w:val="28"/>
          <w:szCs w:val="28"/>
          <w:u w:val=""/>
        </w:rPr>
        <w:t xml:space="preserve">срок отсрочки платежа (дни) - средний срок отсрочки платежа </w:t>
      </w:r>
      <w:r>
        <w:br/>
      </w:r>
      <w:r>
        <w:rPr>
          <w:rFonts w:ascii="Times New Roman" w:hAnsi="Times New Roman" w:eastAsia="Times New Roman" w:cs="Times New Roman"/>
          <w:sz w:val="28"/>
          <w:szCs w:val="28"/>
          <w:u w:val=""/>
        </w:rPr>
        <w:t xml:space="preserve">(до факта поставки или позже), предоставленный покупателям за поставленную готовую продукцию;</w:t>
      </w:r>
    </w:p>
    <w:p>
      <w:pPr>
        <w:jc w:val="both"/>
        <w:ind w:left="304"/>
        <w:spacing w:before="0" w:after="0" w:line="288" w:lineRule="auto"/>
        <w:numPr>
          <w:ilvl w:val="0"/>
          <w:numId w:val="107"/>
        </w:numPr>
        <w:rPr>
          <w:sz w:val="28"/>
          <w:szCs w:val="28"/>
          <w:u w:val=""/>
        </w:rPr>
      </w:pPr>
      <w:r>
        <w:rPr>
          <w:rFonts w:ascii="Times New Roman" w:hAnsi="Times New Roman" w:eastAsia="Times New Roman" w:cs="Times New Roman"/>
          <w:sz w:val="28"/>
          <w:szCs w:val="28"/>
          <w:u w:val=""/>
        </w:rPr>
        <w:t xml:space="preserve">цикл производства (дни) - средняя продолжительность цикла производства (незавершенное производство).</w:t>
      </w:r>
    </w:p>
    <w:p>
      <w:pPr>
        <w:jc w:val="both"/>
        <w:ind/>
        <w:spacing w:before="0" w:after="0" w:line="288" w:lineRule="auto"/>
      </w:pPr>
      <w:r>
        <w:rPr>
          <w:rFonts w:ascii="Times New Roman" w:hAnsi="Times New Roman" w:eastAsia="Times New Roman" w:cs="Times New Roman"/>
          <w:sz w:val="28"/>
          <w:szCs w:val="28"/>
          <w:b/>
          <w:u w:val=""/>
        </w:rPr>
        <w:t xml:space="preserve">Прямые материальные затраты </w:t>
      </w:r>
      <w:r>
        <w:rPr>
          <w:rFonts w:ascii="Times New Roman" w:hAnsi="Times New Roman" w:eastAsia="Times New Roman" w:cs="Times New Roman"/>
          <w:sz w:val="28"/>
          <w:szCs w:val="28"/>
          <w:u w:val=""/>
        </w:rPr>
        <w:t xml:space="preserve">(с детализацией по основным статьям прямых материальных затрат)</w:t>
      </w:r>
      <w:r>
        <w:rPr>
          <w:rFonts w:ascii="Times New Roman" w:hAnsi="Times New Roman" w:eastAsia="Times New Roman" w:cs="Times New Roman"/>
          <w:sz w:val="28"/>
          <w:szCs w:val="28"/>
          <w:b/>
          <w:u w:val=""/>
        </w:rPr>
        <w:t xml:space="preserve">:</w:t>
      </w:r>
    </w:p>
    <w:p>
      <w:pPr>
        <w:jc w:val="both"/>
        <w:ind w:left="384"/>
        <w:spacing w:before="0" w:after="0" w:line="288" w:lineRule="auto"/>
        <w:numPr>
          <w:ilvl w:val="0"/>
          <w:numId w:val="108"/>
        </w:numPr>
        <w:rPr>
          <w:sz w:val="28"/>
          <w:szCs w:val="28"/>
          <w:u w:val=""/>
        </w:rPr>
      </w:pPr>
      <w:r>
        <w:rPr>
          <w:rFonts w:ascii="Times New Roman" w:hAnsi="Times New Roman" w:eastAsia="Times New Roman" w:cs="Times New Roman"/>
          <w:sz w:val="28"/>
          <w:szCs w:val="28"/>
          <w:u w:val=""/>
        </w:rPr>
        <w:t xml:space="preserve">период оборота (дни) – средний период закупки у поставщиков сырья, материалов и пр.; </w:t>
      </w:r>
    </w:p>
    <w:p>
      <w:pPr>
        <w:jc w:val="both"/>
        <w:ind w:left="384"/>
        <w:spacing w:before="0" w:after="0" w:line="288" w:lineRule="auto"/>
        <w:numPr>
          <w:ilvl w:val="0"/>
          <w:numId w:val="108"/>
        </w:numPr>
        <w:rPr>
          <w:sz w:val="28"/>
          <w:szCs w:val="28"/>
          <w:u w:val=""/>
        </w:rPr>
      </w:pPr>
      <w:r>
        <w:rPr>
          <w:rFonts w:ascii="Times New Roman" w:hAnsi="Times New Roman" w:eastAsia="Times New Roman" w:cs="Times New Roman"/>
          <w:sz w:val="28"/>
          <w:szCs w:val="28"/>
          <w:u w:val=""/>
        </w:rPr>
        <w:t xml:space="preserve">срок поставки (дни) – средний срок получения от поставщиков сырья, материалов и пр. после оплаты аванса (предоплаты);</w:t>
      </w:r>
    </w:p>
    <w:p>
      <w:pPr>
        <w:jc w:val="both"/>
        <w:ind w:left="384"/>
        <w:spacing w:before="0" w:after="0" w:line="288" w:lineRule="auto"/>
        <w:numPr>
          <w:ilvl w:val="0"/>
          <w:numId w:val="108"/>
        </w:numPr>
        <w:rPr>
          <w:sz w:val="28"/>
          <w:szCs w:val="28"/>
          <w:u w:val=""/>
        </w:rPr>
      </w:pPr>
      <w:r>
        <w:rPr>
          <w:rFonts w:ascii="Times New Roman" w:hAnsi="Times New Roman" w:eastAsia="Times New Roman" w:cs="Times New Roman"/>
          <w:sz w:val="28"/>
          <w:szCs w:val="28"/>
          <w:u w:val=""/>
        </w:rPr>
        <w:t xml:space="preserve">срок отсрочки платежа (дни) – средний срок отсрочки платежа, предоставленный поставщиками за поставленное сырье, материалы и пр.</w:t>
      </w:r>
    </w:p>
    <w:p>
      <w:pPr>
        <w:jc w:val="both"/>
        <w:ind/>
        <w:spacing w:before="0" w:after="0" w:line="288" w:lineRule="auto"/>
      </w:pPr>
      <w:r>
        <w:rPr>
          <w:rFonts w:ascii="Times New Roman" w:hAnsi="Times New Roman" w:eastAsia="Times New Roman" w:cs="Times New Roman"/>
          <w:sz w:val="28"/>
          <w:szCs w:val="28"/>
          <w:b/>
          <w:u w:val=""/>
        </w:rPr>
        <w:t xml:space="preserve">Заработная плата:</w:t>
      </w:r>
    </w:p>
    <w:p>
      <w:pPr>
        <w:jc w:val="left"/>
        <w:ind w:left="336"/>
        <w:spacing w:before="0" w:after="0" w:line="288" w:lineRule="auto"/>
        <w:numPr>
          <w:ilvl w:val="0"/>
          <w:numId w:val="109"/>
        </w:numPr>
        <w:rPr>
          <w:sz w:val="28"/>
          <w:szCs w:val="28"/>
          <w:u w:val=""/>
        </w:rPr>
      </w:pPr>
      <w:r>
        <w:rPr>
          <w:rFonts w:ascii="Times New Roman" w:hAnsi="Times New Roman" w:eastAsia="Times New Roman" w:cs="Times New Roman"/>
          <w:sz w:val="28"/>
          <w:szCs w:val="28"/>
          <w:u w:val=""/>
        </w:rPr>
        <w:t xml:space="preserve">задолженность по оплате труда </w:t>
      </w:r>
      <w:r>
        <w:rPr>
          <w:rFonts w:ascii="Times New Roman" w:hAnsi="Times New Roman" w:eastAsia="Times New Roman" w:cs="Times New Roman"/>
          <w:sz w:val="28"/>
          <w:szCs w:val="28"/>
          <w:b/>
          <w:u w:val=""/>
        </w:rPr>
        <w:t xml:space="preserve">- </w:t>
      </w:r>
      <w:r>
        <w:rPr>
          <w:rFonts w:ascii="Times New Roman" w:hAnsi="Times New Roman" w:eastAsia="Times New Roman" w:cs="Times New Roman"/>
          <w:sz w:val="28"/>
          <w:szCs w:val="28"/>
          <w:u w:val=""/>
        </w:rPr>
        <w:t xml:space="preserve">период выплаты заработной платы (один или два раза в месяц).</w:t>
      </w:r>
    </w:p>
    <w:p>
      <w:pPr>
        <w:jc w:val="both"/>
        <w:ind/>
        <w:spacing w:before="0" w:after="0" w:line="288" w:lineRule="auto"/>
      </w:pPr>
      <w:r>
        <w:rPr>
          <w:rFonts w:ascii="Times New Roman" w:hAnsi="Times New Roman" w:eastAsia="Times New Roman" w:cs="Times New Roman"/>
          <w:sz w:val="28"/>
          <w:szCs w:val="28"/>
          <w:u w:val=""/>
        </w:rPr>
        <w:t xml:space="preserve">Статьи текущих активов и пассивов, не нашедшие отражения выше, </w:t>
      </w:r>
      <w:r>
        <w:br/>
      </w:r>
      <w:r>
        <w:rPr>
          <w:rFonts w:ascii="Times New Roman" w:hAnsi="Times New Roman" w:eastAsia="Times New Roman" w:cs="Times New Roman"/>
          <w:sz w:val="28"/>
          <w:szCs w:val="28"/>
          <w:u w:val=""/>
        </w:rPr>
        <w:t xml:space="preserve">при необходимости описываются дополнительно к данной таблице.</w:t>
      </w:r>
    </w:p>
    <w:p>
      <w:pPr>
        <w:jc w:val="both"/>
        <w:ind/>
        <w:spacing w:before="0" w:after="0" w:line="288" w:lineRule="auto"/>
      </w:pPr>
      <w:r>
        <w:rPr>
          <w:rFonts w:ascii="Times New Roman" w:hAnsi="Times New Roman" w:eastAsia="Times New Roman" w:cs="Times New Roman"/>
          <w:sz w:val="28"/>
          <w:szCs w:val="28"/>
          <w:u w:val=""/>
        </w:rPr>
        <w:t xml:space="preserve">Условия поставок и оплаты должны соответствовать условиям договоров на закупку сырья, материалов и пр., а также поставку готовой продукции, приведенных в Приложении к бизнес- плану (при наличии данных договоров </w:t>
      </w:r>
      <w:r>
        <w:br/>
      </w:r>
      <w:r>
        <w:rPr>
          <w:rFonts w:ascii="Times New Roman" w:hAnsi="Times New Roman" w:eastAsia="Times New Roman" w:cs="Times New Roman"/>
          <w:sz w:val="28"/>
          <w:szCs w:val="28"/>
          <w:u w:val=""/>
        </w:rPr>
        <w:t xml:space="preserve">на момент составления бизнес-плана).</w:t>
      </w:r>
    </w:p>
    <w:p>
      <w:pPr>
        <w:jc w:val="both"/>
        <w:ind/>
        <w:spacing w:before="0" w:after="0" w:line="288" w:lineRule="auto"/>
      </w:pPr>
      <w:r>
        <w:rPr>
          <w:rFonts w:ascii="Times New Roman" w:hAnsi="Times New Roman" w:eastAsia="Times New Roman" w:cs="Times New Roman"/>
          <w:sz w:val="28"/>
          <w:szCs w:val="28"/>
          <w:b/>
          <w:u w:val=""/>
        </w:rPr>
        <w:t xml:space="preserve">Оценка потребности проекта в оборотных средствах </w:t>
      </w:r>
      <w:r>
        <w:rPr>
          <w:rFonts w:ascii="Times New Roman" w:hAnsi="Times New Roman" w:eastAsia="Times New Roman" w:cs="Times New Roman"/>
          <w:sz w:val="28"/>
          <w:szCs w:val="28"/>
          <w:u w:val=""/>
        </w:rPr>
        <w:t xml:space="preserve">(чистого оборотного или рабочего капитала), как правило, осуществляется на основе норм оборота (обычно в днях) основных статей текущих активов и пассивов, исходя из потребностей предприятия при работе на полную (проектную) мощность (пункт 10.2.9).</w:t>
      </w:r>
    </w:p>
    <w:p>
      <w:pPr>
        <w:jc w:val="both"/>
        <w:ind/>
        <w:spacing w:before="0" w:after="0" w:line="288" w:lineRule="auto"/>
      </w:pPr>
      <w:r>
        <w:rPr>
          <w:rFonts w:ascii="Times New Roman" w:hAnsi="Times New Roman" w:eastAsia="Times New Roman" w:cs="Times New Roman"/>
          <w:sz w:val="28"/>
          <w:szCs w:val="28"/>
          <w:u w:val=""/>
        </w:rPr>
        <w:t xml:space="preserve">При этом необходимо запланировать наличие соответствующих средств на оплату сырья, материалов и комплектующих в интервалах планирования, предшествующих периоду их использования (с учетом объемов запасов, производства и условий оплаты), а поступление средств за готовую продукцию – в последующих интервалах планирования (с учетом длительности производственного цикла, объема запасов и условий оплаты готовой продукции). Кроме того, необходимо учитывать влияние на потребность </w:t>
      </w:r>
      <w:r>
        <w:br/>
      </w:r>
      <w:r>
        <w:rPr>
          <w:rFonts w:ascii="Times New Roman" w:hAnsi="Times New Roman" w:eastAsia="Times New Roman" w:cs="Times New Roman"/>
          <w:sz w:val="28"/>
          <w:szCs w:val="28"/>
          <w:u w:val=""/>
        </w:rPr>
        <w:t xml:space="preserve">в оборотных средствах периодичности начисления и уплаты налогов (пункт 10.2.1.).</w:t>
      </w:r>
    </w:p>
    <w:p>
      <w:pPr>
        <w:jc w:val="both"/>
        <w:ind/>
        <w:spacing w:before="0" w:after="0" w:line="288" w:lineRule="auto"/>
      </w:pPr>
      <w:r>
        <w:rPr>
          <w:rFonts w:ascii="Times New Roman" w:hAnsi="Times New Roman" w:eastAsia="Times New Roman" w:cs="Times New Roman"/>
          <w:sz w:val="28"/>
          <w:szCs w:val="28"/>
          <w:b/>
          <w:u w:val=""/>
        </w:rPr>
        <w:t xml:space="preserve">10.3. Расчет прибылей</w:t>
      </w:r>
      <w:r>
        <w:rPr>
          <w:rFonts w:ascii="Times New Roman" w:hAnsi="Times New Roman" w:eastAsia="Times New Roman" w:cs="Times New Roman"/>
          <w:sz w:val="28"/>
          <w:szCs w:val="28"/>
          <w:u w:val=""/>
        </w:rPr>
        <w:t xml:space="preserve">, </w:t>
      </w:r>
      <w:r>
        <w:rPr>
          <w:rFonts w:ascii="Times New Roman" w:hAnsi="Times New Roman" w:eastAsia="Times New Roman" w:cs="Times New Roman"/>
          <w:sz w:val="28"/>
          <w:szCs w:val="28"/>
          <w:b/>
          <w:u w:val=""/>
        </w:rPr>
        <w:t xml:space="preserve">убытков и денежных потоков</w:t>
      </w:r>
    </w:p>
    <w:p>
      <w:pPr>
        <w:jc w:val="both"/>
        <w:ind/>
        <w:spacing w:before="0" w:after="0" w:line="288" w:lineRule="auto"/>
      </w:pPr>
      <w:r>
        <w:rPr>
          <w:rFonts w:ascii="Times New Roman" w:hAnsi="Times New Roman" w:eastAsia="Times New Roman" w:cs="Times New Roman"/>
          <w:sz w:val="28"/>
          <w:szCs w:val="28"/>
          <w:u w:val=""/>
        </w:rPr>
        <w:t xml:space="preserve">Проводится для каждого интервала планирования по методике, упомянутой в пункте 8.1.</w:t>
      </w:r>
    </w:p>
    <w:p>
      <w:pPr>
        <w:jc w:val="both"/>
        <w:ind/>
        <w:spacing w:before="0" w:after="0" w:line="288" w:lineRule="auto"/>
      </w:pPr>
      <w:r>
        <w:rPr>
          <w:rFonts w:ascii="Times New Roman" w:hAnsi="Times New Roman" w:eastAsia="Times New Roman" w:cs="Times New Roman"/>
          <w:sz w:val="28"/>
          <w:szCs w:val="28"/>
          <w:b/>
          <w:u w:val=""/>
        </w:rPr>
        <w:t xml:space="preserve">Отчет о прибылях и убытках.</w:t>
      </w:r>
    </w:p>
    <w:p>
      <w:pPr>
        <w:jc w:val="both"/>
        <w:ind/>
        <w:spacing w:before="0" w:after="0" w:line="288" w:lineRule="auto"/>
      </w:pPr>
      <w:r>
        <w:rPr>
          <w:rFonts w:ascii="Times New Roman" w:hAnsi="Times New Roman" w:eastAsia="Times New Roman" w:cs="Times New Roman"/>
          <w:sz w:val="28"/>
          <w:szCs w:val="28"/>
          <w:u w:val=""/>
        </w:rPr>
        <w:t xml:space="preserve">Представляет собой самую привычную форму финансовой оценки </w:t>
      </w:r>
      <w:r>
        <w:br/>
      </w:r>
      <w:r>
        <w:rPr>
          <w:rFonts w:ascii="Times New Roman" w:hAnsi="Times New Roman" w:eastAsia="Times New Roman" w:cs="Times New Roman"/>
          <w:sz w:val="28"/>
          <w:szCs w:val="28"/>
          <w:u w:val=""/>
        </w:rPr>
        <w:t xml:space="preserve">(форма № 2 бухгалтерской отчетности предприятия). Назначение этой формы – анализ на каждом интервале планирования соотношения доходов предприятия (проекта), относимых в соответствии с учетной политикой предприятия </w:t>
      </w:r>
      <w:r>
        <w:br/>
      </w:r>
      <w:r>
        <w:rPr>
          <w:rFonts w:ascii="Times New Roman" w:hAnsi="Times New Roman" w:eastAsia="Times New Roman" w:cs="Times New Roman"/>
          <w:sz w:val="28"/>
          <w:szCs w:val="28"/>
          <w:u w:val=""/>
        </w:rPr>
        <w:t xml:space="preserve">к данному периоду, со связанными с ними расходами, а также налоговыми выплатами и дивидендами.</w:t>
      </w:r>
    </w:p>
    <w:p>
      <w:pPr>
        <w:jc w:val="both"/>
        <w:ind/>
        <w:spacing w:before="0" w:after="0" w:line="288" w:lineRule="auto"/>
      </w:pPr>
      <w:r>
        <w:rPr>
          <w:rFonts w:ascii="Times New Roman" w:hAnsi="Times New Roman" w:eastAsia="Times New Roman" w:cs="Times New Roman"/>
          <w:sz w:val="28"/>
          <w:szCs w:val="28"/>
          <w:u w:val=""/>
        </w:rPr>
        <w:t xml:space="preserve">Отчет о прибылях и убытках необходим для оценки эффективности текущей (хозяйственной) деятельности. Его анализ позволяет также оценить размер чистой прибыли, являющейся наряду с амортизацией одним </w:t>
      </w:r>
      <w:r>
        <w:br/>
      </w:r>
      <w:r>
        <w:rPr>
          <w:rFonts w:ascii="Times New Roman" w:hAnsi="Times New Roman" w:eastAsia="Times New Roman" w:cs="Times New Roman"/>
          <w:sz w:val="28"/>
          <w:szCs w:val="28"/>
          <w:u w:val=""/>
        </w:rPr>
        <w:t xml:space="preserve">из основных источников денежных средств, для возврата займов, привлеченных на финансирование инвестиционных издержек проекта. Однако наличие и размер чистой прибыли не является единственным критерием успешности реализации инвестиционного проекта, так как используемые </w:t>
      </w:r>
      <w:r>
        <w:br/>
      </w:r>
      <w:r>
        <w:rPr>
          <w:rFonts w:ascii="Times New Roman" w:hAnsi="Times New Roman" w:eastAsia="Times New Roman" w:cs="Times New Roman"/>
          <w:sz w:val="28"/>
          <w:szCs w:val="28"/>
          <w:u w:val=""/>
        </w:rPr>
        <w:t xml:space="preserve">в отчете о прибылях и убытках «доходы» и «расходы», как правило, </w:t>
      </w:r>
      <w:r>
        <w:br/>
      </w:r>
      <w:r>
        <w:rPr>
          <w:rFonts w:ascii="Times New Roman" w:hAnsi="Times New Roman" w:eastAsia="Times New Roman" w:cs="Times New Roman"/>
          <w:sz w:val="28"/>
          <w:szCs w:val="28"/>
          <w:u w:val=""/>
        </w:rPr>
        <w:t xml:space="preserve">не отражают действительного движения денежных средств в данном интервале планирования. В частности, оплата сырья обычно происходит в интервалах планирования, предшествующих периоду их использования в производстве, </w:t>
      </w:r>
      <w:r>
        <w:br/>
      </w:r>
      <w:r>
        <w:rPr>
          <w:rFonts w:ascii="Times New Roman" w:hAnsi="Times New Roman" w:eastAsia="Times New Roman" w:cs="Times New Roman"/>
          <w:sz w:val="28"/>
          <w:szCs w:val="28"/>
          <w:u w:val=""/>
        </w:rPr>
        <w:t xml:space="preserve">а поступление средств за готовую продукцию, произведенную в данном периоде, – в последующих интервалах планирования. </w:t>
      </w:r>
    </w:p>
    <w:p>
      <w:pPr>
        <w:jc w:val="both"/>
        <w:ind/>
        <w:spacing w:before="0" w:after="0" w:line="288" w:lineRule="auto"/>
      </w:pPr>
      <w:r>
        <w:rPr>
          <w:rFonts w:ascii="Times New Roman" w:hAnsi="Times New Roman" w:eastAsia="Times New Roman" w:cs="Times New Roman"/>
          <w:sz w:val="28"/>
          <w:szCs w:val="28"/>
          <w:b/>
          <w:u w:val=""/>
        </w:rPr>
        <w:t xml:space="preserve">Отчет о движении денежных средств </w:t>
      </w:r>
    </w:p>
    <w:p>
      <w:pPr>
        <w:jc w:val="both"/>
        <w:ind/>
        <w:spacing w:before="0" w:after="0" w:line="288" w:lineRule="auto"/>
      </w:pPr>
      <w:r>
        <w:rPr>
          <w:rFonts w:ascii="Times New Roman" w:hAnsi="Times New Roman" w:eastAsia="Times New Roman" w:cs="Times New Roman"/>
          <w:sz w:val="28"/>
          <w:szCs w:val="28"/>
          <w:u w:val=""/>
        </w:rPr>
        <w:t xml:space="preserve">Предназначен для расчета денежного потока проекта и оценки </w:t>
      </w:r>
      <w:r>
        <w:br/>
      </w:r>
      <w:r>
        <w:rPr>
          <w:rFonts w:ascii="Times New Roman" w:hAnsi="Times New Roman" w:eastAsia="Times New Roman" w:cs="Times New Roman"/>
          <w:sz w:val="28"/>
          <w:szCs w:val="28"/>
          <w:u w:val=""/>
        </w:rPr>
        <w:t xml:space="preserve">его финансовой реализуемости. Денежный поток проекта рассчитывается </w:t>
      </w:r>
      <w:r>
        <w:br/>
      </w:r>
      <w:r>
        <w:rPr>
          <w:rFonts w:ascii="Times New Roman" w:hAnsi="Times New Roman" w:eastAsia="Times New Roman" w:cs="Times New Roman"/>
          <w:sz w:val="28"/>
          <w:szCs w:val="28"/>
          <w:u w:val=""/>
        </w:rPr>
        <w:t xml:space="preserve">на каждом интервале планирования проекта как сальдо притока и оттока денежных средств:</w:t>
      </w:r>
    </w:p>
    <w:p>
      <w:pPr>
        <w:jc w:val="both"/>
        <w:ind w:left="336"/>
        <w:spacing w:before="0" w:after="0" w:line="288" w:lineRule="auto"/>
        <w:numPr>
          <w:ilvl w:val="0"/>
          <w:numId w:val="110"/>
        </w:numPr>
        <w:rPr>
          <w:sz w:val="28"/>
          <w:szCs w:val="28"/>
          <w:u w:val=""/>
        </w:rPr>
      </w:pPr>
      <w:r>
        <w:rPr>
          <w:rFonts w:ascii="Times New Roman" w:hAnsi="Times New Roman" w:eastAsia="Times New Roman" w:cs="Times New Roman"/>
          <w:sz w:val="28"/>
          <w:szCs w:val="28"/>
          <w:b/>
          <w:u w:val=""/>
        </w:rPr>
        <w:t xml:space="preserve">приток</w:t>
      </w:r>
      <w:r>
        <w:rPr>
          <w:rFonts w:ascii="Times New Roman" w:hAnsi="Times New Roman" w:eastAsia="Times New Roman" w:cs="Times New Roman"/>
          <w:sz w:val="28"/>
          <w:szCs w:val="28"/>
          <w:u w:val=""/>
        </w:rPr>
        <w:t xml:space="preserve">: поступления от реализации продукции (услуг), внереализационные доходы (продажа основных средств и пр.), увеличение акционерного (уставного) капитала за счет денежных взносов акционеров (учредителей), привлечение заемных средств (кредиты, ссуды, облигации);</w:t>
      </w:r>
    </w:p>
    <w:p>
      <w:pPr>
        <w:jc w:val="both"/>
        <w:ind w:left="336"/>
        <w:spacing w:before="0" w:after="0" w:line="288" w:lineRule="auto"/>
        <w:numPr>
          <w:ilvl w:val="0"/>
          <w:numId w:val="110"/>
        </w:numPr>
        <w:rPr>
          <w:sz w:val="28"/>
          <w:szCs w:val="28"/>
          <w:u w:val=""/>
        </w:rPr>
      </w:pPr>
      <w:r>
        <w:rPr>
          <w:rFonts w:ascii="Times New Roman" w:hAnsi="Times New Roman" w:eastAsia="Times New Roman" w:cs="Times New Roman"/>
          <w:sz w:val="28"/>
          <w:szCs w:val="28"/>
          <w:b/>
          <w:u w:val=""/>
        </w:rPr>
        <w:t xml:space="preserve">отток:</w:t>
      </w:r>
      <w:r>
        <w:rPr>
          <w:rFonts w:ascii="Times New Roman" w:hAnsi="Times New Roman" w:eastAsia="Times New Roman" w:cs="Times New Roman"/>
          <w:sz w:val="28"/>
          <w:szCs w:val="28"/>
          <w:u w:val=""/>
        </w:rPr>
        <w:t xml:space="preserve"> инвестиционные издержки, текущие затраты (без амортизации), налоги и отчисления, погашение займов и выплата процентов, выплата дивидендов.</w:t>
      </w:r>
    </w:p>
    <w:p>
      <w:pPr>
        <w:jc w:val="both"/>
        <w:ind/>
        <w:spacing w:before="0" w:after="0" w:line="288" w:lineRule="auto"/>
      </w:pPr>
      <w:r>
        <w:rPr>
          <w:rFonts w:ascii="Times New Roman" w:hAnsi="Times New Roman" w:eastAsia="Times New Roman" w:cs="Times New Roman"/>
          <w:sz w:val="28"/>
          <w:szCs w:val="28"/>
          <w:b/>
          <w:u w:val=""/>
        </w:rPr>
        <w:t xml:space="preserve">Основным условием финансовой реализуемости проекта является</w:t>
      </w:r>
      <w:r>
        <w:rPr>
          <w:rFonts w:ascii="Times New Roman" w:hAnsi="Times New Roman" w:eastAsia="Times New Roman" w:cs="Times New Roman"/>
          <w:sz w:val="28"/>
          <w:szCs w:val="28"/>
          <w:u w:val=""/>
        </w:rPr>
        <w:t xml:space="preserve"> положительное значение накопленного денежного потока проекта (рассчитанного нарастающим итогом) на каждом интервале планирования проекта. Выполнение данного условия обеспечивается подбором соответствующих источников финансирования, покрывающих дефицит денежных средств на этапе осуществления капитальных затрат и формирования первоначальных оборотных средств. </w:t>
      </w:r>
    </w:p>
    <w:p>
      <w:pPr>
        <w:jc w:val="both"/>
        <w:ind/>
        <w:spacing w:before="0" w:after="0" w:line="288" w:lineRule="auto"/>
      </w:pPr>
      <w:r>
        <w:rPr>
          <w:rFonts w:ascii="Times New Roman" w:hAnsi="Times New Roman" w:eastAsia="Times New Roman" w:cs="Times New Roman"/>
          <w:sz w:val="28"/>
          <w:szCs w:val="28"/>
          <w:u w:val=""/>
        </w:rPr>
        <w:t xml:space="preserve">Нехватка наличности в каком-либо из последующих интервалах планирования, как правило, означает «банкротство» проекта, то есть </w:t>
      </w:r>
      <w:r>
        <w:br/>
      </w:r>
      <w:r>
        <w:rPr>
          <w:rFonts w:ascii="Times New Roman" w:hAnsi="Times New Roman" w:eastAsia="Times New Roman" w:cs="Times New Roman"/>
          <w:sz w:val="28"/>
          <w:szCs w:val="28"/>
          <w:u w:val=""/>
        </w:rPr>
        <w:t xml:space="preserve">его финансовую несостоятельность при данных условиях финансирования. </w:t>
      </w:r>
      <w:r>
        <w:br/>
      </w:r>
      <w:r>
        <w:rPr>
          <w:rFonts w:ascii="Times New Roman" w:hAnsi="Times New Roman" w:eastAsia="Times New Roman" w:cs="Times New Roman"/>
          <w:sz w:val="28"/>
          <w:szCs w:val="28"/>
          <w:u w:val=""/>
        </w:rPr>
        <w:t xml:space="preserve">При этом расчет других показателей эффективности проекта теряет смысл.</w:t>
      </w:r>
    </w:p>
    <w:p>
      <w:pPr>
        <w:jc w:val="both"/>
        <w:ind w:left="192"/>
        <w:spacing w:before="0" w:after="0" w:line="288" w:lineRule="auto"/>
        <w:numPr>
          <w:ilvl w:val="1"/>
          <w:numId w:val="112"/>
        </w:numPr>
        <w:rPr>
          <w:sz w:val="28"/>
          <w:szCs w:val="28"/>
          <w:u w:val=""/>
        </w:rPr>
      </w:pPr>
      <w:r>
        <w:rPr>
          <w:rFonts w:ascii="Times New Roman" w:hAnsi="Times New Roman" w:eastAsia="Times New Roman" w:cs="Times New Roman"/>
          <w:sz w:val="28"/>
          <w:szCs w:val="28"/>
          <w:b/>
          <w:u w:val=""/>
        </w:rPr>
        <w:t xml:space="preserve">Оценка экономической эффективности проекта</w:t>
      </w:r>
    </w:p>
    <w:p>
      <w:pPr>
        <w:jc w:val="left"/>
        <w:ind/>
        <w:spacing w:before="0" w:after="0" w:line="288" w:lineRule="auto"/>
      </w:pPr>
      <w:r>
        <w:rPr>
          <w:rFonts w:ascii="Times New Roman" w:hAnsi="Times New Roman" w:eastAsia="Times New Roman" w:cs="Times New Roman"/>
          <w:sz w:val="28"/>
          <w:szCs w:val="28"/>
          <w:u w:val=""/>
        </w:rPr>
        <w:t xml:space="preserve">Показатели эффективности проекта, необходимые для расчета:</w:t>
      </w:r>
    </w:p>
    <w:p>
      <w:pPr>
        <w:jc w:val="left"/>
        <w:ind w:left="192"/>
        <w:spacing w:before="0" w:after="0" w:line="288" w:lineRule="auto"/>
        <w:numPr>
          <w:ilvl w:val="0"/>
          <w:numId w:val="113"/>
        </w:numPr>
        <w:rPr>
          <w:sz w:val="28"/>
          <w:szCs w:val="28"/>
          <w:u w:val=""/>
        </w:rPr>
      </w:pPr>
      <w:r>
        <w:rPr>
          <w:rFonts w:ascii="Times New Roman" w:hAnsi="Times New Roman" w:eastAsia="Times New Roman" w:cs="Times New Roman"/>
          <w:sz w:val="28"/>
          <w:szCs w:val="28"/>
          <w:u w:val=""/>
        </w:rPr>
        <w:t xml:space="preserve">Срок окупаемости (РВР);</w:t>
      </w:r>
    </w:p>
    <w:p>
      <w:pPr>
        <w:jc w:val="left"/>
        <w:ind w:left="192"/>
        <w:spacing w:before="0" w:after="0" w:line="288" w:lineRule="auto"/>
        <w:numPr>
          <w:ilvl w:val="0"/>
          <w:numId w:val="113"/>
        </w:numPr>
        <w:rPr>
          <w:sz w:val="28"/>
          <w:szCs w:val="28"/>
          <w:u w:val=""/>
        </w:rPr>
      </w:pPr>
      <w:r>
        <w:rPr>
          <w:rFonts w:ascii="Times New Roman" w:hAnsi="Times New Roman" w:eastAsia="Times New Roman" w:cs="Times New Roman"/>
          <w:sz w:val="28"/>
          <w:szCs w:val="28"/>
          <w:u w:val=""/>
        </w:rPr>
        <w:t xml:space="preserve">Дисконтированный срок окупаемости (DPBP); </w:t>
      </w:r>
    </w:p>
    <w:p>
      <w:pPr>
        <w:jc w:val="left"/>
        <w:ind w:left="192"/>
        <w:spacing w:before="0" w:after="0" w:line="288" w:lineRule="auto"/>
        <w:numPr>
          <w:ilvl w:val="0"/>
          <w:numId w:val="113"/>
        </w:numPr>
        <w:rPr>
          <w:sz w:val="28"/>
          <w:szCs w:val="28"/>
          <w:u w:val=""/>
        </w:rPr>
      </w:pPr>
      <w:r>
        <w:rPr>
          <w:rFonts w:ascii="Times New Roman" w:hAnsi="Times New Roman" w:eastAsia="Times New Roman" w:cs="Times New Roman"/>
          <w:sz w:val="28"/>
          <w:szCs w:val="28"/>
          <w:u w:val=""/>
        </w:rPr>
        <w:t xml:space="preserve">Чистая приведенная стоимость (NPV);</w:t>
      </w:r>
    </w:p>
    <w:p>
      <w:pPr>
        <w:jc w:val="left"/>
        <w:ind w:left="192"/>
        <w:spacing w:before="0" w:after="0" w:line="288" w:lineRule="auto"/>
        <w:numPr>
          <w:ilvl w:val="0"/>
          <w:numId w:val="113"/>
        </w:numPr>
        <w:rPr>
          <w:sz w:val="28"/>
          <w:szCs w:val="28"/>
          <w:u w:val=""/>
        </w:rPr>
      </w:pPr>
      <w:r>
        <w:rPr>
          <w:rFonts w:ascii="Times New Roman" w:hAnsi="Times New Roman" w:eastAsia="Times New Roman" w:cs="Times New Roman"/>
          <w:sz w:val="28"/>
          <w:szCs w:val="28"/>
          <w:u w:val=""/>
        </w:rPr>
        <w:t xml:space="preserve">Внутренняя норма доходности (IRR).</w:t>
      </w:r>
    </w:p>
    <w:p>
      <w:pPr>
        <w:jc w:val="both"/>
        <w:ind/>
        <w:spacing w:before="0" w:after="0" w:line="288" w:lineRule="auto"/>
      </w:pPr>
      <w:r>
        <w:rPr>
          <w:rFonts w:ascii="Times New Roman" w:hAnsi="Times New Roman" w:eastAsia="Times New Roman" w:cs="Times New Roman"/>
          <w:sz w:val="28"/>
          <w:szCs w:val="28"/>
          <w:u w:val=""/>
        </w:rPr>
        <w:t xml:space="preserve">Ни один из перечисленных показателей эффективности сам по себе </w:t>
      </w:r>
      <w:r>
        <w:br/>
      </w:r>
      <w:r>
        <w:rPr>
          <w:rFonts w:ascii="Times New Roman" w:hAnsi="Times New Roman" w:eastAsia="Times New Roman" w:cs="Times New Roman"/>
          <w:sz w:val="28"/>
          <w:szCs w:val="28"/>
          <w:u w:val=""/>
        </w:rPr>
        <w:t xml:space="preserve">не является достаточным для принятия проекта к реализации. Важную роль играет соотношение и распределение во времени собственных </w:t>
      </w:r>
      <w:r>
        <w:br/>
      </w:r>
      <w:r>
        <w:rPr>
          <w:rFonts w:ascii="Times New Roman" w:hAnsi="Times New Roman" w:eastAsia="Times New Roman" w:cs="Times New Roman"/>
          <w:sz w:val="28"/>
          <w:szCs w:val="28"/>
          <w:u w:val=""/>
        </w:rPr>
        <w:t xml:space="preserve">и привлекаемых для осуществления проекта средств, а также другие факторы, некоторые из которых поддаются только качественному </w:t>
      </w:r>
      <w:r>
        <w:br/>
      </w:r>
      <w:r>
        <w:rPr>
          <w:rFonts w:ascii="Times New Roman" w:hAnsi="Times New Roman" w:eastAsia="Times New Roman" w:cs="Times New Roman"/>
          <w:sz w:val="28"/>
          <w:szCs w:val="28"/>
          <w:u w:val=""/>
        </w:rPr>
        <w:t xml:space="preserve">(а не формальному) анализу. </w:t>
      </w:r>
    </w:p>
    <w:p>
      <w:pPr>
        <w:jc w:val="both"/>
        <w:ind/>
        <w:spacing w:before="0" w:after="0" w:line="288" w:lineRule="auto"/>
      </w:pPr>
      <w:r>
        <w:rPr>
          <w:rFonts w:ascii="Times New Roman" w:hAnsi="Times New Roman" w:eastAsia="Times New Roman" w:cs="Times New Roman"/>
          <w:sz w:val="28"/>
          <w:szCs w:val="28"/>
          <w:b/>
          <w:u w:val=""/>
        </w:rPr>
        <w:t xml:space="preserve">Срок окупаемости (РВР)</w:t>
      </w:r>
    </w:p>
    <w:p>
      <w:pPr>
        <w:jc w:val="both"/>
        <w:ind/>
        <w:spacing w:before="0" w:after="0" w:line="288" w:lineRule="auto"/>
      </w:pPr>
      <w:r>
        <w:rPr>
          <w:rFonts w:ascii="Times New Roman" w:hAnsi="Times New Roman" w:eastAsia="Times New Roman" w:cs="Times New Roman"/>
          <w:sz w:val="28"/>
          <w:szCs w:val="28"/>
          <w:u w:val=""/>
        </w:rPr>
        <w:t xml:space="preserve">Сроком окупаемости ("простым") называется продолжительность периода от начала расчета до наиболее раннего интервала планирования, после которого чистый доход проекта становится и в дальнейшем остается положительным.</w:t>
      </w:r>
    </w:p>
    <w:p>
      <w:pPr>
        <w:jc w:val="both"/>
        <w:ind/>
        <w:spacing w:before="0" w:after="0" w:line="288" w:lineRule="auto"/>
      </w:pPr>
      <w:r>
        <w:rPr>
          <w:rFonts w:ascii="Times New Roman" w:hAnsi="Times New Roman" w:eastAsia="Times New Roman" w:cs="Times New Roman"/>
          <w:sz w:val="28"/>
          <w:szCs w:val="28"/>
          <w:u w:val=""/>
        </w:rPr>
        <w:t xml:space="preserve">Чистый доход проекта рассчитывается нарастающим итогом на основе следующего денежного потока:</w:t>
      </w:r>
    </w:p>
    <w:p>
      <w:pPr>
        <w:jc w:val="both"/>
        <w:ind w:left="192"/>
        <w:spacing w:before="0" w:after="0" w:line="288" w:lineRule="auto"/>
        <w:numPr>
          <w:ilvl w:val="0"/>
          <w:numId w:val="114"/>
        </w:numPr>
        <w:rPr>
          <w:sz w:val="28"/>
          <w:szCs w:val="28"/>
          <w:u w:val=""/>
        </w:rPr>
      </w:pPr>
      <w:r>
        <w:rPr>
          <w:rFonts w:ascii="Times New Roman" w:hAnsi="Times New Roman" w:eastAsia="Times New Roman" w:cs="Times New Roman"/>
          <w:sz w:val="28"/>
          <w:szCs w:val="28"/>
          <w:b/>
          <w:u w:val=""/>
        </w:rPr>
        <w:t xml:space="preserve">приток: </w:t>
      </w:r>
      <w:r>
        <w:rPr>
          <w:rFonts w:ascii="Times New Roman" w:hAnsi="Times New Roman" w:eastAsia="Times New Roman" w:cs="Times New Roman"/>
          <w:sz w:val="28"/>
          <w:szCs w:val="28"/>
          <w:u w:val=""/>
        </w:rPr>
        <w:t xml:space="preserve">поступления от реализации продукции (услуг), внереализационные доходы;</w:t>
      </w:r>
    </w:p>
    <w:p>
      <w:pPr>
        <w:jc w:val="both"/>
        <w:ind w:left="192"/>
        <w:spacing w:before="0" w:after="0" w:line="288" w:lineRule="auto"/>
        <w:numPr>
          <w:ilvl w:val="0"/>
          <w:numId w:val="114"/>
        </w:numPr>
        <w:rPr>
          <w:sz w:val="28"/>
          <w:szCs w:val="28"/>
          <w:u w:val=""/>
        </w:rPr>
      </w:pPr>
      <w:r>
        <w:rPr>
          <w:rFonts w:ascii="Times New Roman" w:hAnsi="Times New Roman" w:eastAsia="Times New Roman" w:cs="Times New Roman"/>
          <w:sz w:val="28"/>
          <w:szCs w:val="28"/>
          <w:b/>
          <w:u w:val=""/>
        </w:rPr>
        <w:t xml:space="preserve">отток: </w:t>
      </w:r>
      <w:r>
        <w:rPr>
          <w:rFonts w:ascii="Times New Roman" w:hAnsi="Times New Roman" w:eastAsia="Times New Roman" w:cs="Times New Roman"/>
          <w:sz w:val="28"/>
          <w:szCs w:val="28"/>
          <w:u w:val=""/>
        </w:rPr>
        <w:t xml:space="preserve">инвестиционные издержки, текущие затраты (без амортизации), налоги и отчисления.</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b/>
          <w:u w:val=""/>
        </w:rPr>
        <w:t xml:space="preserve">Дисконтированный срок окупаемости (DPBP)</w:t>
      </w:r>
    </w:p>
    <w:p>
      <w:pPr>
        <w:jc w:val="both"/>
        <w:ind/>
        <w:spacing w:before="0" w:after="0" w:line="288" w:lineRule="auto"/>
      </w:pPr>
      <w:r>
        <w:rPr>
          <w:rFonts w:ascii="Times New Roman" w:hAnsi="Times New Roman" w:eastAsia="Times New Roman" w:cs="Times New Roman"/>
          <w:sz w:val="28"/>
          <w:szCs w:val="28"/>
          <w:u w:val=""/>
        </w:rPr>
        <w:t xml:space="preserve">Дисконтированный срок окупаемости определяется аналогично «простому», но на основе чистого дисконтированного дохода и, соответственно, дисконтированного денежного потока проекта.</w:t>
      </w:r>
    </w:p>
    <w:p>
      <w:pPr>
        <w:jc w:val="both"/>
        <w:ind/>
        <w:spacing w:before="0" w:after="0" w:line="288" w:lineRule="auto"/>
      </w:pPr>
      <w:r>
        <w:rPr>
          <w:rFonts w:ascii="Times New Roman" w:hAnsi="Times New Roman" w:eastAsia="Times New Roman" w:cs="Times New Roman"/>
          <w:sz w:val="28"/>
          <w:szCs w:val="28"/>
          <w:u w:val=""/>
        </w:rPr>
        <w:t xml:space="preserve">При этом значения денежного потока приводятся к начальному интервалу планирования (дисконтируются) путем умножения на соответствующий коэффициент дисконтирования:</w:t>
      </w:r>
    </w:p>
    <w:p>
      <w:pPr>
        <w:jc w:val="both"/>
        <w:ind/>
        <w:spacing w:before="0" w:after="0" w:line="288" w:lineRule="auto"/>
      </w:pPr>
      <w:r>
        <w:rPr>
          <w:rFonts w:ascii="Times New Roman" w:hAnsi="Times New Roman" w:eastAsia="Times New Roman" w:cs="Times New Roman"/>
          <w:sz w:val="28"/>
          <w:szCs w:val="28"/>
          <w:u w:val=""/>
        </w:rPr>
        <w:t xml:space="preserve">dt =1 / (1 + Dt)t-1 ,</w:t>
      </w:r>
    </w:p>
    <w:p>
      <w:pPr>
        <w:jc w:val="both"/>
        <w:ind/>
        <w:spacing w:before="0" w:after="0" w:line="288" w:lineRule="auto"/>
      </w:pPr>
      <w:r>
        <w:rPr>
          <w:rFonts w:ascii="Times New Roman" w:hAnsi="Times New Roman" w:eastAsia="Times New Roman" w:cs="Times New Roman"/>
          <w:sz w:val="28"/>
          <w:szCs w:val="28"/>
          <w:u w:val=""/>
        </w:rPr>
        <w:t xml:space="preserve">где:    t - номер интервала планирования (t = 1,2,...);</w:t>
      </w:r>
    </w:p>
    <w:p>
      <w:pPr>
        <w:jc w:val="both"/>
        <w:ind/>
        <w:spacing w:before="0" w:after="0" w:line="288" w:lineRule="auto"/>
      </w:pPr>
      <w:r>
        <w:rPr>
          <w:rFonts w:ascii="Times New Roman" w:hAnsi="Times New Roman" w:eastAsia="Times New Roman" w:cs="Times New Roman"/>
          <w:sz w:val="28"/>
          <w:szCs w:val="28"/>
          <w:u w:val=""/>
        </w:rPr>
        <w:t xml:space="preserve">Dt – зависит от длительности t-го интервала планирования и равна: </w:t>
      </w:r>
      <w:r>
        <w:rPr>
          <w:rFonts w:ascii="Times New Roman" w:hAnsi="Times New Roman" w:eastAsia="Times New Roman" w:cs="Times New Roman"/>
          <w:sz w:val="16"/>
          <w:szCs w:val="16"/>
          <w:b/>
          <w:u w:val=""/>
        </w:rPr>
        <w:t xml:space="preserve">12</w:t>
      </w:r>
      <w:r>
        <w:rPr>
          <w:rFonts w:ascii="Times New Roman" w:hAnsi="Times New Roman" w:eastAsia="Times New Roman" w:cs="Times New Roman"/>
          <w:sz w:val="28"/>
          <w:szCs w:val="28"/>
          <w:b/>
          <w:u w:val=""/>
        </w:rPr>
        <w:t xml:space="preserve"> </w:t>
      </w:r>
      <w:r>
        <w:rPr>
          <w:rFonts w:ascii="Times New Roman" w:hAnsi="Times New Roman" w:eastAsia="Times New Roman" w:cs="Times New Roman"/>
          <w:sz w:val="28"/>
          <w:szCs w:val="28"/>
          <w:u w:val=""/>
        </w:rPr>
        <w:t xml:space="preserve">  D  </w:t>
      </w:r>
      <w:r>
        <w:br/>
      </w:r>
    </w:p>
    <w:p>
      <w:pPr>
        <w:jc w:val="both"/>
        <w:ind/>
        <w:spacing w:before="0" w:after="0" w:line="288" w:lineRule="auto"/>
      </w:pPr>
      <w:r>
        <w:rPr>
          <w:rFonts w:ascii="Times New Roman" w:hAnsi="Times New Roman" w:eastAsia="Times New Roman" w:cs="Times New Roman"/>
          <w:sz w:val="28"/>
          <w:szCs w:val="28"/>
          <w:u w:val=""/>
        </w:rPr>
        <w:t xml:space="preserve">для месяца;               для квартала;  </w:t>
      </w:r>
      <w:r>
        <w:rPr>
          <w:rFonts w:ascii="Times New Roman" w:hAnsi="Times New Roman" w:eastAsia="Times New Roman" w:cs="Times New Roman"/>
          <w:sz w:val="16"/>
          <w:szCs w:val="16"/>
          <w:u w:val=""/>
        </w:rPr>
        <w:t xml:space="preserve">2           </w:t>
      </w:r>
      <w:r>
        <w:rPr>
          <w:rFonts w:ascii="Times New Roman" w:hAnsi="Times New Roman" w:eastAsia="Times New Roman" w:cs="Times New Roman"/>
          <w:sz w:val="28"/>
          <w:szCs w:val="28"/>
          <w:u w:val=""/>
        </w:rPr>
        <w:t xml:space="preserve">D для полугодия; D для годового интервала;</w:t>
      </w:r>
    </w:p>
    <w:p>
      <w:pPr>
        <w:jc w:val="both"/>
        <w:ind/>
        <w:spacing w:before="0" w:after="0" w:line="288" w:lineRule="auto"/>
      </w:pPr>
      <w:r>
        <w:rPr>
          <w:rFonts w:ascii="Times New Roman" w:hAnsi="Times New Roman" w:eastAsia="Times New Roman" w:cs="Times New Roman"/>
          <w:sz w:val="28"/>
          <w:szCs w:val="28"/>
          <w:u w:val=""/>
        </w:rPr>
        <w:t xml:space="preserve">D – принятая ставка дисконтирования проекта (ее обоснование приводится ниже).</w:t>
      </w:r>
    </w:p>
    <w:p>
      <w:pPr>
        <w:jc w:val="both"/>
        <w:ind/>
        <w:spacing w:before="0" w:after="0" w:line="288" w:lineRule="auto"/>
      </w:pPr>
      <w:r>
        <w:rPr>
          <w:rFonts w:ascii="Times New Roman" w:hAnsi="Times New Roman" w:eastAsia="Times New Roman" w:cs="Times New Roman"/>
          <w:sz w:val="28"/>
          <w:szCs w:val="28"/>
          <w:b/>
          <w:u w:val=""/>
        </w:rPr>
        <w:t xml:space="preserve">Чистая приведенная стоимость (NPV)</w:t>
      </w:r>
    </w:p>
    <w:p>
      <w:pPr>
        <w:jc w:val="both"/>
        <w:ind/>
        <w:spacing w:before="0" w:after="0" w:line="288" w:lineRule="auto"/>
      </w:pPr>
      <w:r>
        <w:rPr>
          <w:rFonts w:ascii="Times New Roman" w:hAnsi="Times New Roman" w:eastAsia="Times New Roman" w:cs="Times New Roman"/>
          <w:sz w:val="28"/>
          <w:szCs w:val="28"/>
          <w:u w:val=""/>
        </w:rPr>
        <w:t xml:space="preserve">Важнейшим показателем эффективности проекта является чистая приведенная стоимость, которая равна значению чистого дисконтированного дохода на последнем интервале планирования (накопленный дисконтированный эффект, рассчитанный нарастающим итогом за период расчета проекта).</w:t>
      </w:r>
    </w:p>
    <w:p>
      <w:pPr>
        <w:jc w:val="both"/>
        <w:ind/>
        <w:spacing w:before="0" w:after="0" w:line="288" w:lineRule="auto"/>
      </w:pPr>
      <w:r>
        <w:rPr>
          <w:rFonts w:ascii="Times New Roman" w:hAnsi="Times New Roman" w:eastAsia="Times New Roman" w:cs="Times New Roman"/>
          <w:sz w:val="28"/>
          <w:szCs w:val="28"/>
          <w:u w:val=""/>
        </w:rPr>
        <w:t xml:space="preserve">Чистая приведенная стоимость характеризует превышение суммарных денежных поступлений над суммарными затратами для данного проекта </w:t>
      </w:r>
      <w:r>
        <w:br/>
      </w:r>
      <w:r>
        <w:rPr>
          <w:rFonts w:ascii="Times New Roman" w:hAnsi="Times New Roman" w:eastAsia="Times New Roman" w:cs="Times New Roman"/>
          <w:sz w:val="28"/>
          <w:szCs w:val="28"/>
          <w:u w:val=""/>
        </w:rPr>
        <w:t xml:space="preserve">с учетом в составе ставки дисконтирования: темпа инфляции, минимальной нормы прибыли кредитора и поправки на риск проекта.</w:t>
      </w:r>
    </w:p>
    <w:p>
      <w:pPr>
        <w:jc w:val="both"/>
        <w:ind/>
        <w:spacing w:before="0" w:after="0" w:line="288" w:lineRule="auto"/>
      </w:pPr>
      <w:r>
        <w:rPr>
          <w:rFonts w:ascii="Times New Roman" w:hAnsi="Times New Roman" w:eastAsia="Times New Roman" w:cs="Times New Roman"/>
          <w:sz w:val="28"/>
          <w:szCs w:val="28"/>
          <w:u w:val=""/>
        </w:rPr>
        <w:t xml:space="preserve">Необходимо, чтобы чистая приведенная стоимость проекта была положительна.</w:t>
      </w:r>
    </w:p>
    <w:p>
      <w:pPr>
        <w:jc w:val="both"/>
        <w:ind/>
        <w:spacing w:before="0" w:after="0" w:line="288" w:lineRule="auto"/>
      </w:pPr>
      <w:r>
        <w:rPr>
          <w:rFonts w:ascii="Times New Roman" w:hAnsi="Times New Roman" w:eastAsia="Times New Roman" w:cs="Times New Roman"/>
          <w:sz w:val="28"/>
          <w:szCs w:val="28"/>
          <w:b/>
          <w:u w:val=""/>
        </w:rPr>
        <w:t xml:space="preserve">Внутренняя норма доходности (IRR)</w:t>
      </w:r>
    </w:p>
    <w:p>
      <w:pPr>
        <w:jc w:val="both"/>
        <w:ind/>
        <w:spacing w:before="0" w:after="0" w:line="288" w:lineRule="auto"/>
      </w:pPr>
      <w:r>
        <w:rPr>
          <w:rFonts w:ascii="Times New Roman" w:hAnsi="Times New Roman" w:eastAsia="Times New Roman" w:cs="Times New Roman"/>
          <w:sz w:val="28"/>
          <w:szCs w:val="28"/>
          <w:u w:val=""/>
        </w:rPr>
        <w:t xml:space="preserve">Внутренней нормой доходности называется ставка дисконтирования, </w:t>
      </w:r>
      <w:r>
        <w:br/>
      </w:r>
      <w:r>
        <w:rPr>
          <w:rFonts w:ascii="Times New Roman" w:hAnsi="Times New Roman" w:eastAsia="Times New Roman" w:cs="Times New Roman"/>
          <w:sz w:val="28"/>
          <w:szCs w:val="28"/>
          <w:u w:val=""/>
        </w:rPr>
        <w:t xml:space="preserve">при котором чистая приведенная стоимость проекта обращается в ноль. Соответствующая ставка определяется итерационным подбором при расчетах чистой приведенной стоимости, либо с использованием финансового калькулятора или табличного процессора Excel, содержащих встроенную функцию для расчета IRR.</w:t>
      </w:r>
    </w:p>
    <w:p>
      <w:pPr>
        <w:jc w:val="both"/>
        <w:ind/>
        <w:spacing w:before="0" w:after="0" w:line="288" w:lineRule="auto"/>
      </w:pPr>
      <w:r>
        <w:rPr>
          <w:rFonts w:ascii="Times New Roman" w:hAnsi="Times New Roman" w:eastAsia="Times New Roman" w:cs="Times New Roman"/>
          <w:sz w:val="28"/>
          <w:szCs w:val="28"/>
          <w:u w:val=""/>
        </w:rPr>
        <w:t xml:space="preserve">Для оценки эффективности проекта значение внутренней нормы доходности необходимо сопоставлять с годовой ставкой процента </w:t>
      </w:r>
      <w:r>
        <w:br/>
      </w:r>
      <w:r>
        <w:rPr>
          <w:rFonts w:ascii="Times New Roman" w:hAnsi="Times New Roman" w:eastAsia="Times New Roman" w:cs="Times New Roman"/>
          <w:sz w:val="28"/>
          <w:szCs w:val="28"/>
          <w:u w:val=""/>
        </w:rPr>
        <w:t xml:space="preserve">по инвестиционным кредитам.</w:t>
      </w:r>
    </w:p>
    <w:p>
      <w:pPr>
        <w:jc w:val="both"/>
        <w:ind/>
        <w:spacing w:before="0" w:after="0" w:line="288" w:lineRule="auto"/>
      </w:pPr>
      <w:r>
        <w:rPr>
          <w:rFonts w:ascii="Times New Roman" w:hAnsi="Times New Roman" w:eastAsia="Times New Roman" w:cs="Times New Roman"/>
          <w:sz w:val="28"/>
          <w:szCs w:val="28"/>
          <w:b/>
          <w:u w:val=""/>
        </w:rPr>
        <w:t xml:space="preserve">Обоснование ставки дисконтирования (D)</w:t>
      </w:r>
    </w:p>
    <w:p>
      <w:pPr>
        <w:jc w:val="both"/>
        <w:ind/>
        <w:spacing w:before="0" w:after="0" w:line="288" w:lineRule="auto"/>
      </w:pPr>
      <w:r>
        <w:rPr>
          <w:rFonts w:ascii="Times New Roman" w:hAnsi="Times New Roman" w:eastAsia="Times New Roman" w:cs="Times New Roman"/>
          <w:sz w:val="28"/>
          <w:szCs w:val="28"/>
          <w:u w:val=""/>
        </w:rPr>
        <w:t xml:space="preserve">В соответствии с распространенным положением теории инвестиционного анализа предполагается, что ставка дисконтирования должна содержать темп инфляции, минимальную норму прибыли кредитора </w:t>
      </w:r>
      <w:r>
        <w:br/>
      </w:r>
      <w:r>
        <w:rPr>
          <w:rFonts w:ascii="Times New Roman" w:hAnsi="Times New Roman" w:eastAsia="Times New Roman" w:cs="Times New Roman"/>
          <w:sz w:val="28"/>
          <w:szCs w:val="28"/>
          <w:u w:val=""/>
        </w:rPr>
        <w:t xml:space="preserve">и поправку, учитывающую степень риска конкретного проекта.</w:t>
      </w:r>
    </w:p>
    <w:p>
      <w:pPr>
        <w:jc w:val="left"/>
        <w:ind/>
        <w:spacing w:before="0" w:after="0" w:line="432" w:lineRule="auto"/>
      </w:pPr>
      <w:r>
        <w:rPr>
          <w:sz w:val="28"/>
          <w:szCs w:val="28"/>
          <w:u w:val=""/>
        </w:rPr>
        <w:t xml:space="preserve"> </w:t>
      </w:r>
    </w:p>
    <w:p>
      <w:pPr>
        <w:jc w:val="center"/>
        <w:ind w:left="192"/>
        <w:spacing w:before="0" w:after="0" w:line="288" w:lineRule="auto"/>
        <w:numPr>
          <w:ilvl w:val="0"/>
          <w:numId w:val="115"/>
        </w:numPr>
        <w:rPr>
          <w:sz w:val="28"/>
          <w:szCs w:val="28"/>
          <w:u w:val=""/>
        </w:rPr>
      </w:pPr>
      <w:r>
        <w:rPr>
          <w:rFonts w:ascii="Times New Roman" w:hAnsi="Times New Roman" w:eastAsia="Times New Roman" w:cs="Times New Roman"/>
          <w:sz w:val="28"/>
          <w:szCs w:val="28"/>
          <w:b/>
          <w:u w:val=""/>
        </w:rPr>
        <w:t xml:space="preserve">План финансирования</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u w:val=""/>
        </w:rPr>
        <w:t xml:space="preserve">Раздел должен содержать следующую информацию: </w:t>
      </w:r>
    </w:p>
    <w:p>
      <w:pPr>
        <w:jc w:val="both"/>
        <w:ind w:left="192"/>
        <w:spacing w:before="0" w:after="0" w:line="288" w:lineRule="auto"/>
        <w:numPr>
          <w:ilvl w:val="0"/>
          <w:numId w:val="116"/>
        </w:numPr>
        <w:rPr>
          <w:sz w:val="28"/>
          <w:szCs w:val="28"/>
          <w:u w:val=""/>
        </w:rPr>
      </w:pPr>
      <w:r>
        <w:rPr>
          <w:rFonts w:ascii="Times New Roman" w:hAnsi="Times New Roman" w:eastAsia="Times New Roman" w:cs="Times New Roman"/>
          <w:sz w:val="28"/>
          <w:szCs w:val="28"/>
          <w:u w:val=""/>
        </w:rPr>
        <w:t xml:space="preserve">общая потребность в финансировании (в разбивке по основным категориям инвестиционных затрат); </w:t>
      </w:r>
    </w:p>
    <w:p>
      <w:pPr>
        <w:jc w:val="both"/>
        <w:ind w:left="192"/>
        <w:spacing w:before="0" w:after="0" w:line="288" w:lineRule="auto"/>
        <w:numPr>
          <w:ilvl w:val="0"/>
          <w:numId w:val="116"/>
        </w:numPr>
        <w:rPr>
          <w:sz w:val="28"/>
          <w:szCs w:val="28"/>
          <w:u w:val=""/>
        </w:rPr>
      </w:pPr>
      <w:r>
        <w:rPr>
          <w:rFonts w:ascii="Times New Roman" w:hAnsi="Times New Roman" w:eastAsia="Times New Roman" w:cs="Times New Roman"/>
          <w:sz w:val="28"/>
          <w:szCs w:val="28"/>
          <w:u w:val=""/>
        </w:rPr>
        <w:t xml:space="preserve">предполагаемая структура источников финансирования; </w:t>
      </w:r>
    </w:p>
    <w:p>
      <w:pPr>
        <w:jc w:val="both"/>
        <w:ind w:left="192"/>
        <w:spacing w:before="0" w:after="0" w:line="288" w:lineRule="auto"/>
        <w:numPr>
          <w:ilvl w:val="0"/>
          <w:numId w:val="116"/>
        </w:numPr>
        <w:rPr>
          <w:sz w:val="28"/>
          <w:szCs w:val="28"/>
          <w:u w:val=""/>
        </w:rPr>
      </w:pPr>
      <w:r>
        <w:rPr>
          <w:rFonts w:ascii="Times New Roman" w:hAnsi="Times New Roman" w:eastAsia="Times New Roman" w:cs="Times New Roman"/>
          <w:sz w:val="28"/>
          <w:szCs w:val="28"/>
          <w:u w:val=""/>
        </w:rPr>
        <w:t xml:space="preserve">размер собственных средств (которые будут вложены в проект Получателем средств и его акционерами/участниками); </w:t>
      </w:r>
    </w:p>
    <w:p>
      <w:pPr>
        <w:jc w:val="both"/>
        <w:ind w:left="192"/>
        <w:spacing w:before="0" w:after="0" w:line="288" w:lineRule="auto"/>
        <w:numPr>
          <w:ilvl w:val="0"/>
          <w:numId w:val="116"/>
        </w:numPr>
        <w:rPr>
          <w:sz w:val="28"/>
          <w:szCs w:val="28"/>
          <w:u w:val=""/>
        </w:rPr>
      </w:pPr>
      <w:r>
        <w:rPr>
          <w:rFonts w:ascii="Times New Roman" w:hAnsi="Times New Roman" w:eastAsia="Times New Roman" w:cs="Times New Roman"/>
          <w:sz w:val="28"/>
          <w:szCs w:val="28"/>
          <w:u w:val=""/>
        </w:rPr>
        <w:t xml:space="preserve">возможность внесения дополнительного (резервного) финансирования Получателем средств или иными Участниками проекта; </w:t>
      </w:r>
    </w:p>
    <w:p>
      <w:pPr>
        <w:jc w:val="both"/>
        <w:ind w:left="192"/>
        <w:spacing w:before="0" w:after="0" w:line="288" w:lineRule="auto"/>
        <w:numPr>
          <w:ilvl w:val="0"/>
          <w:numId w:val="116"/>
        </w:numPr>
        <w:rPr>
          <w:sz w:val="28"/>
          <w:szCs w:val="28"/>
          <w:u w:val=""/>
        </w:rPr>
      </w:pPr>
      <w:r>
        <w:rPr>
          <w:rFonts w:ascii="Times New Roman" w:hAnsi="Times New Roman" w:eastAsia="Times New Roman" w:cs="Times New Roman"/>
          <w:sz w:val="28"/>
          <w:szCs w:val="28"/>
          <w:u w:val=""/>
        </w:rPr>
        <w:t xml:space="preserve">предполагаемый размер и форма участия Кредитора; </w:t>
      </w:r>
    </w:p>
    <w:p>
      <w:pPr>
        <w:jc w:val="both"/>
        <w:ind w:left="192"/>
        <w:spacing w:before="0" w:after="0" w:line="288" w:lineRule="auto"/>
        <w:numPr>
          <w:ilvl w:val="0"/>
          <w:numId w:val="116"/>
        </w:numPr>
        <w:rPr>
          <w:sz w:val="28"/>
          <w:szCs w:val="28"/>
          <w:u w:val=""/>
        </w:rPr>
      </w:pPr>
      <w:r>
        <w:rPr>
          <w:rFonts w:ascii="Times New Roman" w:hAnsi="Times New Roman" w:eastAsia="Times New Roman" w:cs="Times New Roman"/>
          <w:sz w:val="28"/>
          <w:szCs w:val="28"/>
          <w:u w:val=""/>
        </w:rPr>
        <w:t xml:space="preserve">предполагаемый график предоставления, обслуживания и возврата долга Кредитору/рам и возможные варианты выхода Кредитора/ров </w:t>
      </w:r>
      <w:r>
        <w:br/>
      </w:r>
      <w:r>
        <w:rPr>
          <w:rFonts w:ascii="Times New Roman" w:hAnsi="Times New Roman" w:eastAsia="Times New Roman" w:cs="Times New Roman"/>
          <w:sz w:val="28"/>
          <w:szCs w:val="28"/>
          <w:u w:val=""/>
        </w:rPr>
        <w:t xml:space="preserve">из уставного капитала (если предполагается соответствующее финансирование); </w:t>
      </w:r>
    </w:p>
    <w:p>
      <w:pPr>
        <w:jc w:val="both"/>
        <w:ind w:left="192"/>
        <w:spacing w:before="0" w:after="0" w:line="288" w:lineRule="auto"/>
        <w:numPr>
          <w:ilvl w:val="0"/>
          <w:numId w:val="116"/>
        </w:numPr>
        <w:rPr>
          <w:sz w:val="28"/>
          <w:szCs w:val="28"/>
          <w:u w:val=""/>
        </w:rPr>
      </w:pPr>
      <w:r>
        <w:rPr>
          <w:rFonts w:ascii="Times New Roman" w:hAnsi="Times New Roman" w:eastAsia="Times New Roman" w:cs="Times New Roman"/>
          <w:sz w:val="28"/>
          <w:szCs w:val="28"/>
          <w:u w:val=""/>
        </w:rPr>
        <w:t xml:space="preserve">предложения по контролю Кредитора/ров за ходом реализации проекта и целевым использованием средств (например, возможность передачи в залог акций Получателя средств или основных акционеров Получателя средств; выделение финансирования в виде траншей; представительство Кредитора/ров в Совете директоров; раздельный учет операций по проекту от текущей деятельности; использование резервных счетов расходов и авторизация платежей; мониторингом выполнения графика реализации проекта и т.д.);  </w:t>
      </w:r>
    </w:p>
    <w:p>
      <w:pPr>
        <w:jc w:val="both"/>
        <w:ind w:left="192"/>
        <w:spacing w:before="0" w:after="0" w:line="288" w:lineRule="auto"/>
        <w:numPr>
          <w:ilvl w:val="0"/>
          <w:numId w:val="116"/>
        </w:numPr>
        <w:rPr>
          <w:sz w:val="28"/>
          <w:szCs w:val="28"/>
          <w:u w:val=""/>
        </w:rPr>
      </w:pPr>
      <w:r>
        <w:rPr>
          <w:rFonts w:ascii="Times New Roman" w:hAnsi="Times New Roman" w:eastAsia="Times New Roman" w:cs="Times New Roman"/>
          <w:sz w:val="28"/>
          <w:szCs w:val="28"/>
          <w:u w:val=""/>
        </w:rPr>
        <w:t xml:space="preserve">размер, форма и условия (в том числе, предварительные) предоставления финансирования иными Участниками проекта (если рассматривается такая возможность).</w:t>
      </w:r>
    </w:p>
    <w:p>
      <w:pPr>
        <w:jc w:val="both"/>
        <w:ind/>
        <w:spacing w:before="0" w:after="0" w:line="288" w:lineRule="auto"/>
      </w:pPr>
      <w:r>
        <w:rPr>
          <w:rFonts w:ascii="Times New Roman" w:hAnsi="Times New Roman" w:eastAsia="Times New Roman" w:cs="Times New Roman"/>
          <w:sz w:val="28"/>
          <w:szCs w:val="28"/>
          <w:b/>
          <w:u w:val=""/>
        </w:rPr>
        <w:t xml:space="preserve">Ставка дисконтирования без учета риска проекта (d) </w:t>
      </w:r>
      <w:r>
        <w:rPr>
          <w:rFonts w:ascii="Times New Roman" w:hAnsi="Times New Roman" w:eastAsia="Times New Roman" w:cs="Times New Roman"/>
          <w:sz w:val="28"/>
          <w:szCs w:val="28"/>
          <w:u w:val=""/>
        </w:rPr>
        <w:t xml:space="preserve">определяется </w:t>
      </w:r>
      <w:r>
        <w:br/>
      </w:r>
      <w:r>
        <w:rPr>
          <w:rFonts w:ascii="Times New Roman" w:hAnsi="Times New Roman" w:eastAsia="Times New Roman" w:cs="Times New Roman"/>
          <w:sz w:val="28"/>
          <w:szCs w:val="28"/>
          <w:u w:val=""/>
        </w:rPr>
        <w:t xml:space="preserve">в долях единицы как отношение ставки рефинансирования (r), установленной Центральным банком Российской Федерации, и объявленного Правительством Российской Федерации на текущий год темпа инфляции (i):</w:t>
      </w:r>
    </w:p>
    <w:p>
      <w:pPr>
        <w:jc w:val="both"/>
        <w:ind/>
        <w:spacing w:before="0" w:after="0" w:line="288" w:lineRule="auto"/>
      </w:pPr>
      <w:r>
        <w:rPr>
          <w:rFonts w:ascii="Times New Roman" w:hAnsi="Times New Roman" w:eastAsia="Times New Roman" w:cs="Times New Roman"/>
          <w:sz w:val="28"/>
          <w:szCs w:val="28"/>
          <w:u w:val=""/>
        </w:rPr>
        <w:t xml:space="preserve">1 + d  = (1 + r/100) / (1 + i/100)</w:t>
      </w:r>
    </w:p>
    <w:p>
      <w:pPr>
        <w:jc w:val="both"/>
        <w:ind/>
        <w:spacing w:before="0" w:after="0" w:line="288" w:lineRule="auto"/>
      </w:pPr>
      <w:r>
        <w:rPr>
          <w:rFonts w:ascii="Times New Roman" w:hAnsi="Times New Roman" w:eastAsia="Times New Roman" w:cs="Times New Roman"/>
          <w:sz w:val="28"/>
          <w:szCs w:val="28"/>
          <w:u w:val=""/>
        </w:rPr>
        <w:t xml:space="preserve">Поправка на риск определяется, исходя из типовых и специфических рисков проекта, следующим образом:</w:t>
      </w:r>
    </w:p>
    <w:p>
      <w:pPr>
        <w:jc w:val="both"/>
        <w:ind/>
        <w:spacing w:before="0" w:after="0" w:line="288" w:lineRule="auto"/>
      </w:pPr>
      <w:r>
        <w:rPr>
          <w:rFonts w:ascii="Times New Roman" w:hAnsi="Times New Roman" w:eastAsia="Times New Roman" w:cs="Times New Roman"/>
          <w:sz w:val="28"/>
          <w:szCs w:val="28"/>
          <w:u w:val=""/>
        </w:rPr>
        <w:t xml:space="preserve">Интервал значений типовых рисков проекта определяется по данным следующей таблицы:</w:t>
      </w:r>
    </w:p>
    <w:tbl>
      <w:tblGrid>
        <w:gridCol w:w="2100" w:type="dxa"/>
        <w:gridCol w:w="5970" w:type="dxa"/>
        <w:gridCol w:w="1545" w:type="dxa"/>
      </w:tblGrid>
      <w:tblPr>
        <w:tblW w:w="9615" w:type="dxa"/>
        <w:tblBorders>
          <w:top w:val="" w:sz="6" w:color="999999"/>
          <w:left w:val="" w:sz="6" w:color="999999"/>
          <w:right w:val="" w:sz="6" w:color="999999"/>
          <w:bottom w:val="" w:sz="6" w:color="999999"/>
          <w:insideH w:val="" w:sz="6" w:color="999999"/>
          <w:insideV w:val="" w:sz="6" w:color="999999"/>
        </w:tblBorders>
        <w:tblInd w:w="" w:type="dxa"/>
      </w:tblPr>
      <w:tr>
        <w:trPr>
          <w:trHeight w:val="345" w:hRule="atLeast"/>
        </w:trPr>
        <w:tc>
          <w:tcPr>
            <w:tcW w:w="2100" w:type="dxa"/>
            <w:vAlign w:val="center"/>
            <w:tcBorders>
              <w:top w:val="single" w:sz="8" w:color="000000"/>
              <w:left w:val="single" w:sz="8" w:color="000000"/>
              <w:right w:val="single" w:sz="8" w:color="000000"/>
              <w:bottom w:val="single" w:sz="8" w:color="000000"/>
            </w:tcBorders>
            <w:shd w:val="clear" w:color="auto" w:fill="auto"/>
          </w:tcPr>
          <w:p>
            <w:pPr>
              <w:jc w:val="center"/>
              <w:ind w:left="32"/>
              <w:spacing w:before="0" w:after="0" w:line="331.2" w:lineRule="auto"/>
            </w:pPr>
            <w:r>
              <w:rPr>
                <w:rFonts w:ascii="Times New Roman" w:hAnsi="Times New Roman" w:eastAsia="Times New Roman" w:cs="Times New Roman"/>
                <w:sz w:val="24"/>
                <w:szCs w:val="24"/>
                <w:u w:val=""/>
              </w:rPr>
              <w:t xml:space="preserve">Величина </w:t>
            </w:r>
            <w:r>
              <w:br/>
            </w:r>
            <w:r>
              <w:rPr>
                <w:rFonts w:ascii="Times New Roman" w:hAnsi="Times New Roman" w:eastAsia="Times New Roman" w:cs="Times New Roman"/>
                <w:sz w:val="24"/>
                <w:szCs w:val="24"/>
                <w:u w:val=""/>
              </w:rPr>
              <w:t xml:space="preserve">типового риска</w:t>
            </w:r>
          </w:p>
        </w:tc>
        <w:tc>
          <w:tcPr>
            <w:tcW w:w="5970" w:type="dxa"/>
            <w:vAlign w:val="center"/>
            <w:tcBorders>
              <w:top w:val="single" w:sz="8" w:color="000000"/>
              <w:left w:val="single" w:sz="8" w:color="000000"/>
              <w:right w:val="single" w:sz="8" w:color="000000"/>
              <w:bottom w:val="single" w:sz="8" w:color="000000"/>
            </w:tcBorders>
            <w:shd w:val="clear" w:color="auto" w:fill="auto"/>
          </w:tcPr>
          <w:p>
            <w:pPr>
              <w:jc w:val="center"/>
              <w:ind w:left="32"/>
              <w:spacing w:before="0" w:after="0" w:line="331.2" w:lineRule="auto"/>
            </w:pPr>
            <w:r>
              <w:rPr>
                <w:rFonts w:ascii="Times New Roman" w:hAnsi="Times New Roman" w:eastAsia="Times New Roman" w:cs="Times New Roman"/>
                <w:sz w:val="24"/>
                <w:szCs w:val="24"/>
                <w:u w:val=""/>
              </w:rPr>
              <w:t xml:space="preserve">Суть проекта</w:t>
            </w:r>
          </w:p>
        </w:tc>
        <w:tc>
          <w:tcPr>
            <w:tcW w:w="1545" w:type="dxa"/>
            <w:vAlign w:val="center"/>
            <w:tcBorders>
              <w:top w:val="single" w:sz="8" w:color="000000"/>
              <w:left w:val="single" w:sz="8" w:color="000000"/>
              <w:right w:val="single" w:sz="8" w:color="000000"/>
              <w:bottom w:val="single" w:sz="8" w:color="000000"/>
            </w:tcBorders>
            <w:shd w:val="clear" w:color="auto" w:fill="auto"/>
          </w:tcPr>
          <w:p>
            <w:pPr>
              <w:jc w:val="center"/>
              <w:ind w:left="32"/>
              <w:spacing w:before="0" w:after="0" w:line="331.2" w:lineRule="auto"/>
            </w:pPr>
            <w:r>
              <w:rPr>
                <w:rFonts w:ascii="Times New Roman" w:hAnsi="Times New Roman" w:eastAsia="Times New Roman" w:cs="Times New Roman"/>
                <w:sz w:val="24"/>
                <w:szCs w:val="24"/>
                <w:u w:val=""/>
              </w:rPr>
              <w:t xml:space="preserve">P, процент</w:t>
            </w:r>
          </w:p>
        </w:tc>
      </w:tr>
      <w:tr>
        <w:trPr>
          <w:trHeight w:val="255" w:hRule="atLeast"/>
        </w:trPr>
        <w:tc>
          <w:tcPr>
            <w:tcW w:w="2100" w:type="dxa"/>
            <w:vAlign w:val="center"/>
            <w:tcBorders>
              <w:top w:val="single" w:sz="8" w:color="000000"/>
              <w:left w:val="single" w:sz="8" w:color="000000"/>
              <w:right w:val="single" w:sz="8" w:color="000000"/>
              <w:bottom w:val="single" w:sz="8" w:color="000000"/>
            </w:tcBorders>
            <w:shd w:val="clear" w:color="auto" w:fill="auto"/>
          </w:tcPr>
          <w:p>
            <w:pPr>
              <w:jc w:val="left"/>
              <w:ind w:left="32"/>
              <w:spacing w:before="0" w:after="0" w:line="331.2" w:lineRule="auto"/>
            </w:pPr>
            <w:r>
              <w:rPr>
                <w:rFonts w:ascii="Times New Roman" w:hAnsi="Times New Roman" w:eastAsia="Times New Roman" w:cs="Times New Roman"/>
                <w:sz w:val="24"/>
                <w:szCs w:val="24"/>
                <w:u w:val=""/>
              </w:rPr>
              <w:t xml:space="preserve">Низкий</w:t>
            </w:r>
          </w:p>
        </w:tc>
        <w:tc>
          <w:tcPr>
            <w:tcW w:w="5970" w:type="dxa"/>
            <w:vAlign w:val="center"/>
            <w:tcBorders>
              <w:top w:val="single" w:sz="8" w:color="000000"/>
              <w:left w:val="single" w:sz="8" w:color="000000"/>
              <w:right w:val="single" w:sz="8" w:color="000000"/>
              <w:bottom w:val="single" w:sz="8" w:color="000000"/>
            </w:tcBorders>
            <w:shd w:val="clear" w:color="auto" w:fill="auto"/>
          </w:tcPr>
          <w:p>
            <w:pPr>
              <w:jc w:val="left"/>
              <w:ind w:left="32"/>
              <w:spacing w:before="0" w:after="0" w:line="331.2" w:lineRule="auto"/>
            </w:pPr>
            <w:r>
              <w:rPr>
                <w:rFonts w:ascii="Times New Roman" w:hAnsi="Times New Roman" w:eastAsia="Times New Roman" w:cs="Times New Roman"/>
                <w:sz w:val="24"/>
                <w:szCs w:val="24"/>
                <w:u w:val=""/>
              </w:rPr>
              <w:t xml:space="preserve">Снижение себестоимости продукции</w:t>
            </w:r>
          </w:p>
        </w:tc>
        <w:tc>
          <w:tcPr>
            <w:tcW w:w="1545" w:type="dxa"/>
            <w:vAlign w:val="center"/>
            <w:tcBorders>
              <w:top w:val="single" w:sz="8" w:color="000000"/>
              <w:left w:val="single" w:sz="8" w:color="000000"/>
              <w:right w:val="single" w:sz="8" w:color="000000"/>
              <w:bottom w:val="single" w:sz="8" w:color="000000"/>
            </w:tcBorders>
            <w:shd w:val="clear" w:color="auto" w:fill="auto"/>
          </w:tcPr>
          <w:p>
            <w:pPr>
              <w:jc w:val="center"/>
              <w:ind w:left="32"/>
              <w:spacing w:before="0" w:after="0" w:line="331.2" w:lineRule="auto"/>
            </w:pPr>
            <w:r>
              <w:rPr>
                <w:rFonts w:ascii="Times New Roman" w:hAnsi="Times New Roman" w:eastAsia="Times New Roman" w:cs="Times New Roman"/>
                <w:sz w:val="24"/>
                <w:szCs w:val="24"/>
                <w:u w:val=""/>
              </w:rPr>
              <w:t xml:space="preserve">6 – 10</w:t>
            </w:r>
          </w:p>
        </w:tc>
      </w:tr>
      <w:tr>
        <w:trPr>
          <w:trHeight w:val="255" w:hRule="atLeast"/>
        </w:trPr>
        <w:tc>
          <w:tcPr>
            <w:tcW w:w="2100" w:type="dxa"/>
            <w:vAlign w:val="center"/>
            <w:tcBorders>
              <w:top w:val="single" w:sz="8" w:color="000000"/>
              <w:left w:val="single" w:sz="8" w:color="000000"/>
              <w:right w:val="single" w:sz="8" w:color="000000"/>
              <w:bottom w:val="single" w:sz="8" w:color="000000"/>
            </w:tcBorders>
            <w:shd w:val="clear" w:color="auto" w:fill="auto"/>
          </w:tcPr>
          <w:p>
            <w:pPr>
              <w:jc w:val="left"/>
              <w:ind w:left="32"/>
              <w:spacing w:before="0" w:after="0" w:line="331.2" w:lineRule="auto"/>
            </w:pPr>
            <w:r>
              <w:rPr>
                <w:rFonts w:ascii="Times New Roman" w:hAnsi="Times New Roman" w:eastAsia="Times New Roman" w:cs="Times New Roman"/>
                <w:sz w:val="24"/>
                <w:szCs w:val="24"/>
                <w:u w:val=""/>
              </w:rPr>
              <w:t xml:space="preserve">Средний</w:t>
            </w:r>
          </w:p>
        </w:tc>
        <w:tc>
          <w:tcPr>
            <w:tcW w:w="5970" w:type="dxa"/>
            <w:vAlign w:val="center"/>
            <w:tcBorders>
              <w:top w:val="single" w:sz="8" w:color="000000"/>
              <w:left w:val="single" w:sz="8" w:color="000000"/>
              <w:right w:val="single" w:sz="8" w:color="000000"/>
              <w:bottom w:val="single" w:sz="8" w:color="000000"/>
            </w:tcBorders>
            <w:shd w:val="clear" w:color="auto" w:fill="auto"/>
          </w:tcPr>
          <w:p>
            <w:pPr>
              <w:jc w:val="left"/>
              <w:ind w:left="32"/>
              <w:spacing w:before="0" w:after="0" w:line="331.2" w:lineRule="auto"/>
            </w:pPr>
            <w:r>
              <w:rPr>
                <w:rFonts w:ascii="Times New Roman" w:hAnsi="Times New Roman" w:eastAsia="Times New Roman" w:cs="Times New Roman"/>
                <w:sz w:val="24"/>
                <w:szCs w:val="24"/>
                <w:u w:val=""/>
              </w:rPr>
              <w:t xml:space="preserve">Увеличение объема продаж существующей продукции</w:t>
            </w:r>
          </w:p>
        </w:tc>
        <w:tc>
          <w:tcPr>
            <w:tcW w:w="1545" w:type="dxa"/>
            <w:vAlign w:val="center"/>
            <w:tcBorders>
              <w:top w:val="single" w:sz="8" w:color="000000"/>
              <w:left w:val="single" w:sz="8" w:color="000000"/>
              <w:right w:val="single" w:sz="8" w:color="000000"/>
              <w:bottom w:val="single" w:sz="8" w:color="000000"/>
            </w:tcBorders>
            <w:shd w:val="clear" w:color="auto" w:fill="auto"/>
          </w:tcPr>
          <w:p>
            <w:pPr>
              <w:jc w:val="center"/>
              <w:ind w:left="32"/>
              <w:spacing w:before="0" w:after="0" w:line="331.2" w:lineRule="auto"/>
            </w:pPr>
            <w:r>
              <w:rPr>
                <w:rFonts w:ascii="Times New Roman" w:hAnsi="Times New Roman" w:eastAsia="Times New Roman" w:cs="Times New Roman"/>
                <w:sz w:val="24"/>
                <w:szCs w:val="24"/>
                <w:u w:val=""/>
              </w:rPr>
              <w:t xml:space="preserve">8 – 12</w:t>
            </w:r>
          </w:p>
        </w:tc>
      </w:tr>
      <w:tr>
        <w:trPr>
          <w:trHeight w:val="255" w:hRule="atLeast"/>
        </w:trPr>
        <w:tc>
          <w:tcPr>
            <w:tcW w:w="2100" w:type="dxa"/>
            <w:vAlign w:val="center"/>
            <w:tcBorders>
              <w:top w:val="single" w:sz="8" w:color="000000"/>
              <w:left w:val="single" w:sz="8" w:color="000000"/>
              <w:right w:val="single" w:sz="8" w:color="000000"/>
              <w:bottom w:val="single" w:sz="8" w:color="000000"/>
            </w:tcBorders>
            <w:shd w:val="clear" w:color="auto" w:fill="auto"/>
          </w:tcPr>
          <w:p>
            <w:pPr>
              <w:jc w:val="left"/>
              <w:ind w:left="32"/>
              <w:spacing w:before="0" w:after="0" w:line="331.2" w:lineRule="auto"/>
            </w:pPr>
            <w:r>
              <w:rPr>
                <w:rFonts w:ascii="Times New Roman" w:hAnsi="Times New Roman" w:eastAsia="Times New Roman" w:cs="Times New Roman"/>
                <w:sz w:val="24"/>
                <w:szCs w:val="24"/>
                <w:u w:val=""/>
              </w:rPr>
              <w:t xml:space="preserve">Высокий</w:t>
            </w:r>
          </w:p>
        </w:tc>
        <w:tc>
          <w:tcPr>
            <w:tcW w:w="5970" w:type="dxa"/>
            <w:vAlign w:val="center"/>
            <w:tcBorders>
              <w:top w:val="single" w:sz="8" w:color="000000"/>
              <w:left w:val="single" w:sz="8" w:color="000000"/>
              <w:right w:val="single" w:sz="8" w:color="000000"/>
              <w:bottom w:val="single" w:sz="8" w:color="000000"/>
            </w:tcBorders>
            <w:shd w:val="clear" w:color="auto" w:fill="auto"/>
          </w:tcPr>
          <w:p>
            <w:pPr>
              <w:jc w:val="left"/>
              <w:ind w:left="32"/>
              <w:spacing w:before="0" w:after="0" w:line="331.2" w:lineRule="auto"/>
            </w:pPr>
            <w:r>
              <w:rPr>
                <w:rFonts w:ascii="Times New Roman" w:hAnsi="Times New Roman" w:eastAsia="Times New Roman" w:cs="Times New Roman"/>
                <w:sz w:val="24"/>
                <w:szCs w:val="24"/>
                <w:u w:val=""/>
              </w:rPr>
              <w:t xml:space="preserve">Производство и продвижение на рынок нового продукта</w:t>
            </w:r>
          </w:p>
        </w:tc>
        <w:tc>
          <w:tcPr>
            <w:tcW w:w="1545" w:type="dxa"/>
            <w:vAlign w:val="center"/>
            <w:tcBorders>
              <w:top w:val="single" w:sz="8" w:color="000000"/>
              <w:left w:val="single" w:sz="8" w:color="000000"/>
              <w:right w:val="single" w:sz="8" w:color="000000"/>
              <w:bottom w:val="single" w:sz="8" w:color="000000"/>
            </w:tcBorders>
            <w:shd w:val="clear" w:color="auto" w:fill="auto"/>
          </w:tcPr>
          <w:p>
            <w:pPr>
              <w:jc w:val="center"/>
              <w:ind w:left="32"/>
              <w:spacing w:before="0" w:after="0" w:line="331.2" w:lineRule="auto"/>
            </w:pPr>
            <w:r>
              <w:rPr>
                <w:rFonts w:ascii="Times New Roman" w:hAnsi="Times New Roman" w:eastAsia="Times New Roman" w:cs="Times New Roman"/>
                <w:sz w:val="24"/>
                <w:szCs w:val="24"/>
                <w:u w:val=""/>
              </w:rPr>
              <w:t xml:space="preserve">11 – 15</w:t>
            </w:r>
          </w:p>
        </w:tc>
      </w:tr>
      <w:tr>
        <w:trPr>
          <w:trHeight w:val="255" w:hRule="atLeast"/>
        </w:trPr>
        <w:tc>
          <w:tcPr>
            <w:tcW w:w="2100" w:type="dxa"/>
            <w:vAlign w:val="center"/>
            <w:tcBorders>
              <w:top w:val="single" w:sz="8" w:color="000000"/>
              <w:left w:val="single" w:sz="8" w:color="000000"/>
              <w:right w:val="single" w:sz="8" w:color="000000"/>
              <w:bottom w:val="single" w:sz="8" w:color="000000"/>
            </w:tcBorders>
            <w:shd w:val="clear" w:color="auto" w:fill="auto"/>
          </w:tcPr>
          <w:p>
            <w:pPr>
              <w:jc w:val="left"/>
              <w:ind w:left="32"/>
              <w:spacing w:before="0" w:after="0" w:line="331.2" w:lineRule="auto"/>
            </w:pPr>
            <w:r>
              <w:rPr>
                <w:rFonts w:ascii="Times New Roman" w:hAnsi="Times New Roman" w:eastAsia="Times New Roman" w:cs="Times New Roman"/>
                <w:sz w:val="24"/>
                <w:szCs w:val="24"/>
                <w:u w:val=""/>
              </w:rPr>
              <w:t xml:space="preserve">Очень высокий</w:t>
            </w:r>
          </w:p>
        </w:tc>
        <w:tc>
          <w:tcPr>
            <w:tcW w:w="5970" w:type="dxa"/>
            <w:vAlign w:val="center"/>
            <w:tcBorders>
              <w:top w:val="single" w:sz="8" w:color="000000"/>
              <w:left w:val="single" w:sz="8" w:color="000000"/>
              <w:right w:val="single" w:sz="8" w:color="000000"/>
              <w:bottom w:val="single" w:sz="8" w:color="000000"/>
            </w:tcBorders>
            <w:shd w:val="clear" w:color="auto" w:fill="auto"/>
          </w:tcPr>
          <w:p>
            <w:pPr>
              <w:jc w:val="left"/>
              <w:ind w:left="32"/>
              <w:spacing w:before="0" w:after="0" w:line="331.2" w:lineRule="auto"/>
            </w:pPr>
            <w:r>
              <w:rPr>
                <w:rFonts w:ascii="Times New Roman" w:hAnsi="Times New Roman" w:eastAsia="Times New Roman" w:cs="Times New Roman"/>
                <w:sz w:val="24"/>
                <w:szCs w:val="24"/>
                <w:u w:val=""/>
              </w:rPr>
              <w:t xml:space="preserve">Вложения в исследования и инновации</w:t>
            </w:r>
          </w:p>
        </w:tc>
        <w:tc>
          <w:tcPr>
            <w:tcW w:w="1545" w:type="dxa"/>
            <w:vAlign w:val="center"/>
            <w:tcBorders>
              <w:top w:val="single" w:sz="8" w:color="000000"/>
              <w:left w:val="single" w:sz="8" w:color="000000"/>
              <w:right w:val="single" w:sz="8" w:color="000000"/>
              <w:bottom w:val="single" w:sz="8" w:color="000000"/>
            </w:tcBorders>
            <w:shd w:val="clear" w:color="auto" w:fill="auto"/>
          </w:tcPr>
          <w:p>
            <w:pPr>
              <w:jc w:val="center"/>
              <w:ind w:left="32"/>
              <w:spacing w:before="0" w:after="0" w:line="331.2" w:lineRule="auto"/>
            </w:pPr>
            <w:r>
              <w:rPr>
                <w:rFonts w:ascii="Times New Roman" w:hAnsi="Times New Roman" w:eastAsia="Times New Roman" w:cs="Times New Roman"/>
                <w:sz w:val="24"/>
                <w:szCs w:val="24"/>
                <w:u w:val=""/>
              </w:rPr>
              <w:t xml:space="preserve">16 – 20</w:t>
            </w:r>
          </w:p>
        </w:tc>
      </w:tr>
    </w:tbl>
    <w:p>
      <w:pPr>
        <w:jc w:val="both"/>
        <w:ind/>
        <w:spacing w:before="0" w:after="0" w:line="288" w:lineRule="auto"/>
      </w:pPr>
      <w:r>
        <w:rPr>
          <w:rFonts w:ascii="Times New Roman" w:hAnsi="Times New Roman" w:eastAsia="Times New Roman" w:cs="Times New Roman"/>
          <w:sz w:val="28"/>
          <w:szCs w:val="28"/>
          <w:u w:val=""/>
        </w:rPr>
        <w:t xml:space="preserve">Конкретное значение поправки принимается по нижней, средней </w:t>
      </w:r>
      <w:r>
        <w:br/>
      </w:r>
      <w:r>
        <w:rPr>
          <w:rFonts w:ascii="Times New Roman" w:hAnsi="Times New Roman" w:eastAsia="Times New Roman" w:cs="Times New Roman"/>
          <w:sz w:val="28"/>
          <w:szCs w:val="28"/>
          <w:u w:val=""/>
        </w:rPr>
        <w:t xml:space="preserve">или верхней границе интервала типового риска в зависимости от приведенной </w:t>
      </w:r>
      <w:r>
        <w:br/>
      </w:r>
      <w:r>
        <w:rPr>
          <w:rFonts w:ascii="Times New Roman" w:hAnsi="Times New Roman" w:eastAsia="Times New Roman" w:cs="Times New Roman"/>
          <w:sz w:val="28"/>
          <w:szCs w:val="28"/>
          <w:u w:val=""/>
        </w:rPr>
        <w:t xml:space="preserve">в бизнес-плане соответствующей оценки величины специфических рисков </w:t>
      </w:r>
      <w:r>
        <w:br/>
      </w:r>
      <w:r>
        <w:rPr>
          <w:rFonts w:ascii="Times New Roman" w:hAnsi="Times New Roman" w:eastAsia="Times New Roman" w:cs="Times New Roman"/>
          <w:sz w:val="28"/>
          <w:szCs w:val="28"/>
          <w:u w:val=""/>
        </w:rPr>
        <w:t xml:space="preserve">и чувствительности к ним проекта.</w:t>
      </w:r>
    </w:p>
    <w:p>
      <w:pPr>
        <w:jc w:val="both"/>
        <w:ind/>
        <w:spacing w:before="0" w:after="0" w:line="288" w:lineRule="auto"/>
      </w:pPr>
      <w:r>
        <w:rPr>
          <w:rFonts w:ascii="Times New Roman" w:hAnsi="Times New Roman" w:eastAsia="Times New Roman" w:cs="Times New Roman"/>
          <w:sz w:val="28"/>
          <w:szCs w:val="28"/>
          <w:b/>
          <w:u w:val=""/>
        </w:rPr>
        <w:t xml:space="preserve">Ставка дисконтирования, учитывающая риски проекта, (D) </w:t>
      </w:r>
      <w:r>
        <w:rPr>
          <w:rFonts w:ascii="Times New Roman" w:hAnsi="Times New Roman" w:eastAsia="Times New Roman" w:cs="Times New Roman"/>
          <w:sz w:val="28"/>
          <w:szCs w:val="28"/>
          <w:u w:val=""/>
        </w:rPr>
        <w:t xml:space="preserve">определяется в процентах по формуле:</w:t>
      </w:r>
    </w:p>
    <w:p>
      <w:pPr>
        <w:jc w:val="left"/>
        <w:ind/>
        <w:spacing w:before="0" w:after="0" w:line="288" w:lineRule="auto"/>
      </w:pPr>
      <w:r>
        <w:rPr>
          <w:rFonts w:ascii="Times New Roman" w:hAnsi="Times New Roman" w:eastAsia="Times New Roman" w:cs="Times New Roman"/>
          <w:sz w:val="28"/>
          <w:szCs w:val="28"/>
          <w:u w:val=""/>
        </w:rPr>
        <w:t xml:space="preserve">D = d х 100 + P,</w:t>
      </w:r>
    </w:p>
    <w:p>
      <w:pPr>
        <w:jc w:val="left"/>
        <w:ind/>
        <w:spacing w:before="0" w:after="0" w:line="288" w:lineRule="auto"/>
      </w:pPr>
      <w:r>
        <w:rPr>
          <w:rFonts w:ascii="Times New Roman" w:hAnsi="Times New Roman" w:eastAsia="Times New Roman" w:cs="Times New Roman"/>
          <w:sz w:val="28"/>
          <w:szCs w:val="28"/>
          <w:u w:val=""/>
        </w:rPr>
        <w:t xml:space="preserve">где:    P - поправка на риск.</w:t>
      </w:r>
    </w:p>
    <w:p>
      <w:pPr>
        <w:jc w:val="both"/>
        <w:ind/>
        <w:spacing w:before="0" w:after="0" w:line="288" w:lineRule="auto"/>
      </w:pPr>
      <w:r>
        <w:rPr>
          <w:rFonts w:ascii="Times New Roman" w:hAnsi="Times New Roman" w:eastAsia="Times New Roman" w:cs="Times New Roman"/>
          <w:sz w:val="28"/>
          <w:szCs w:val="28"/>
          <w:b/>
          <w:u w:val=""/>
        </w:rPr>
        <w:t xml:space="preserve">АО «КАВКАЗ.РФ» оставляет за собой право корректировать ставку дисконтирования по результатам экспертизы бизнес-плана и других материалов по проекту</w:t>
      </w:r>
    </w:p>
    <w:p>
      <w:pPr>
        <w:jc w:val="left"/>
        <w:ind/>
        <w:spacing w:before="0" w:after="0" w:line="432" w:lineRule="auto"/>
      </w:pPr>
      <w:r>
        <w:rPr>
          <w:sz w:val="28"/>
          <w:szCs w:val="28"/>
          <w:u w:val=""/>
        </w:rPr>
        <w:t xml:space="preserve"> </w:t>
      </w:r>
    </w:p>
    <w:p>
      <w:pPr>
        <w:jc w:val="center"/>
        <w:ind w:left="192"/>
        <w:spacing w:before="0" w:after="0" w:line="288" w:lineRule="auto"/>
        <w:numPr>
          <w:ilvl w:val="0"/>
          <w:numId w:val="117"/>
        </w:numPr>
        <w:rPr>
          <w:sz w:val="28"/>
          <w:szCs w:val="28"/>
          <w:u w:val=""/>
        </w:rPr>
      </w:pPr>
      <w:r>
        <w:rPr>
          <w:rFonts w:ascii="Times New Roman" w:hAnsi="Times New Roman" w:eastAsia="Times New Roman" w:cs="Times New Roman"/>
          <w:sz w:val="28"/>
          <w:szCs w:val="28"/>
          <w:b/>
          <w:u w:val=""/>
        </w:rPr>
        <w:t xml:space="preserve">Оценка и анализ проектных рисков</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u w:val=""/>
        </w:rPr>
        <w:t xml:space="preserve">Анализ проектных рисков раздел должен содержать типы и описание основных рисков по проекту, их оценку (качественную оценку величины риска и/или количественную оценку вероятности реализации риска и степени потенциального ущерба), способы управления рисками (их снижения, распределения между Участниками) и предлагаемые гарантии инвесторам.</w:t>
      </w:r>
    </w:p>
    <w:p>
      <w:pPr>
        <w:jc w:val="both"/>
        <w:ind/>
        <w:spacing w:before="0" w:after="0" w:line="288" w:lineRule="auto"/>
      </w:pPr>
      <w:r>
        <w:rPr>
          <w:rFonts w:ascii="Times New Roman" w:hAnsi="Times New Roman" w:eastAsia="Times New Roman" w:cs="Times New Roman"/>
          <w:sz w:val="28"/>
          <w:szCs w:val="28"/>
          <w:u w:val=""/>
        </w:rPr>
        <w:t xml:space="preserve">Для проектов, реализуемых на принципах государственно-частного партнерства, необходимо привести матрицу рисков и предложения </w:t>
      </w:r>
      <w:r>
        <w:br/>
      </w:r>
      <w:r>
        <w:rPr>
          <w:rFonts w:ascii="Times New Roman" w:hAnsi="Times New Roman" w:eastAsia="Times New Roman" w:cs="Times New Roman"/>
          <w:sz w:val="28"/>
          <w:szCs w:val="28"/>
          <w:u w:val=""/>
        </w:rPr>
        <w:t xml:space="preserve">по распределению рисков между частным и государственным сектором с целью их минимизации.</w:t>
      </w:r>
    </w:p>
    <w:p>
      <w:pPr>
        <w:jc w:val="both"/>
        <w:ind/>
        <w:spacing w:before="0" w:after="0" w:line="288" w:lineRule="auto"/>
      </w:pPr>
      <w:r>
        <w:rPr>
          <w:rFonts w:ascii="Times New Roman" w:hAnsi="Times New Roman" w:eastAsia="Times New Roman" w:cs="Times New Roman"/>
          <w:sz w:val="28"/>
          <w:szCs w:val="28"/>
          <w:u w:val=""/>
        </w:rPr>
        <w:t xml:space="preserve">В данном разделе бизнес-плана, проводится качественный анализ рисков проекта, не поддающихся формализованному анализу.</w:t>
      </w:r>
    </w:p>
    <w:p>
      <w:pPr>
        <w:jc w:val="both"/>
        <w:ind/>
        <w:spacing w:before="0" w:after="0" w:line="288" w:lineRule="auto"/>
      </w:pPr>
      <w:r>
        <w:rPr>
          <w:rFonts w:ascii="Times New Roman" w:hAnsi="Times New Roman" w:eastAsia="Times New Roman" w:cs="Times New Roman"/>
          <w:sz w:val="28"/>
          <w:szCs w:val="28"/>
          <w:u w:val=""/>
        </w:rPr>
        <w:t xml:space="preserve">На основе приведенного ниже примерного перечня возможных рисков необходимо оценить вероятность их возникновения при реализации проекта </w:t>
      </w:r>
      <w:r>
        <w:br/>
      </w:r>
      <w:r>
        <w:rPr>
          <w:rFonts w:ascii="Times New Roman" w:hAnsi="Times New Roman" w:eastAsia="Times New Roman" w:cs="Times New Roman"/>
          <w:sz w:val="28"/>
          <w:szCs w:val="28"/>
          <w:u w:val=""/>
        </w:rPr>
        <w:t xml:space="preserve">в терминах: «высокая», «средняя», «низкая»; а также устойчивость проекта по отношению к рискам, отнесенным к категории вероятных. При этом необходимо использовать приведенный ниже перечень методов снижения рисков.</w:t>
      </w:r>
    </w:p>
    <w:p>
      <w:pPr>
        <w:jc w:val="both"/>
        <w:ind/>
        <w:spacing w:before="0" w:after="0" w:line="288" w:lineRule="auto"/>
      </w:pPr>
      <w:r>
        <w:rPr>
          <w:rFonts w:ascii="Times New Roman" w:hAnsi="Times New Roman" w:eastAsia="Times New Roman" w:cs="Times New Roman"/>
          <w:sz w:val="28"/>
          <w:szCs w:val="28"/>
          <w:b/>
          <w:u w:val=""/>
        </w:rPr>
        <w:t xml:space="preserve">Риски, возникающие на этапе осуществления капитальных вложений:</w:t>
      </w:r>
    </w:p>
    <w:p>
      <w:pPr>
        <w:jc w:val="both"/>
        <w:ind w:left="192"/>
        <w:spacing w:before="0" w:after="0" w:line="288" w:lineRule="auto"/>
        <w:numPr>
          <w:ilvl w:val="0"/>
          <w:numId w:val="118"/>
        </w:numPr>
        <w:rPr>
          <w:sz w:val="28"/>
          <w:szCs w:val="28"/>
          <w:u w:val=""/>
        </w:rPr>
      </w:pPr>
      <w:r>
        <w:rPr>
          <w:rFonts w:ascii="Times New Roman" w:hAnsi="Times New Roman" w:eastAsia="Times New Roman" w:cs="Times New Roman"/>
          <w:sz w:val="28"/>
          <w:szCs w:val="28"/>
          <w:u w:val=""/>
        </w:rPr>
        <w:t xml:space="preserve">невыполнение обязательств поставщиком (низкое качество, дефекты </w:t>
      </w:r>
      <w:r>
        <w:br/>
      </w:r>
      <w:r>
        <w:rPr>
          <w:rFonts w:ascii="Times New Roman" w:hAnsi="Times New Roman" w:eastAsia="Times New Roman" w:cs="Times New Roman"/>
          <w:sz w:val="28"/>
          <w:szCs w:val="28"/>
          <w:u w:val=""/>
        </w:rPr>
        <w:t xml:space="preserve">в оборудовании, технологии);</w:t>
      </w:r>
    </w:p>
    <w:p>
      <w:pPr>
        <w:jc w:val="both"/>
        <w:ind w:left="192"/>
        <w:spacing w:before="0" w:after="0" w:line="288" w:lineRule="auto"/>
        <w:numPr>
          <w:ilvl w:val="0"/>
          <w:numId w:val="118"/>
        </w:numPr>
        <w:rPr>
          <w:sz w:val="28"/>
          <w:szCs w:val="28"/>
          <w:u w:val=""/>
        </w:rPr>
      </w:pPr>
      <w:r>
        <w:rPr>
          <w:rFonts w:ascii="Times New Roman" w:hAnsi="Times New Roman" w:eastAsia="Times New Roman" w:cs="Times New Roman"/>
          <w:sz w:val="28"/>
          <w:szCs w:val="28"/>
          <w:u w:val=""/>
        </w:rPr>
        <w:t xml:space="preserve">несвоевременная поставка и монтаж оборудования;</w:t>
      </w:r>
    </w:p>
    <w:p>
      <w:pPr>
        <w:jc w:val="both"/>
        <w:ind w:left="192"/>
        <w:spacing w:before="0" w:after="0" w:line="288" w:lineRule="auto"/>
        <w:numPr>
          <w:ilvl w:val="0"/>
          <w:numId w:val="118"/>
        </w:numPr>
        <w:rPr>
          <w:sz w:val="28"/>
          <w:szCs w:val="28"/>
          <w:u w:val=""/>
        </w:rPr>
      </w:pPr>
      <w:r>
        <w:rPr>
          <w:rFonts w:ascii="Times New Roman" w:hAnsi="Times New Roman" w:eastAsia="Times New Roman" w:cs="Times New Roman"/>
          <w:sz w:val="28"/>
          <w:szCs w:val="28"/>
          <w:u w:val=""/>
        </w:rPr>
        <w:t xml:space="preserve">несовместимость отечественного оборудования с импортным;</w:t>
      </w:r>
    </w:p>
    <w:p>
      <w:pPr>
        <w:jc w:val="both"/>
        <w:ind w:left="192"/>
        <w:spacing w:before="0" w:after="0" w:line="288" w:lineRule="auto"/>
        <w:numPr>
          <w:ilvl w:val="0"/>
          <w:numId w:val="118"/>
        </w:numPr>
        <w:rPr>
          <w:sz w:val="28"/>
          <w:szCs w:val="28"/>
          <w:u w:val=""/>
        </w:rPr>
      </w:pPr>
      <w:r>
        <w:rPr>
          <w:rFonts w:ascii="Times New Roman" w:hAnsi="Times New Roman" w:eastAsia="Times New Roman" w:cs="Times New Roman"/>
          <w:sz w:val="28"/>
          <w:szCs w:val="28"/>
          <w:u w:val=""/>
        </w:rPr>
        <w:t xml:space="preserve">срыв сроков строительства;</w:t>
      </w:r>
    </w:p>
    <w:p>
      <w:pPr>
        <w:jc w:val="both"/>
        <w:ind w:left="192"/>
        <w:spacing w:before="0" w:after="0" w:line="288" w:lineRule="auto"/>
        <w:numPr>
          <w:ilvl w:val="0"/>
          <w:numId w:val="118"/>
        </w:numPr>
        <w:rPr>
          <w:sz w:val="28"/>
          <w:szCs w:val="28"/>
          <w:u w:val=""/>
        </w:rPr>
      </w:pPr>
      <w:r>
        <w:rPr>
          <w:rFonts w:ascii="Times New Roman" w:hAnsi="Times New Roman" w:eastAsia="Times New Roman" w:cs="Times New Roman"/>
          <w:sz w:val="28"/>
          <w:szCs w:val="28"/>
          <w:u w:val=""/>
        </w:rPr>
        <w:t xml:space="preserve">превышение расчетной стоимости проекта;</w:t>
      </w:r>
    </w:p>
    <w:p>
      <w:pPr>
        <w:jc w:val="both"/>
        <w:ind w:left="192"/>
        <w:spacing w:before="0" w:after="0" w:line="288" w:lineRule="auto"/>
        <w:numPr>
          <w:ilvl w:val="0"/>
          <w:numId w:val="118"/>
        </w:numPr>
        <w:rPr>
          <w:sz w:val="28"/>
          <w:szCs w:val="28"/>
          <w:u w:val=""/>
        </w:rPr>
      </w:pPr>
      <w:r>
        <w:rPr>
          <w:rFonts w:ascii="Times New Roman" w:hAnsi="Times New Roman" w:eastAsia="Times New Roman" w:cs="Times New Roman"/>
          <w:sz w:val="28"/>
          <w:szCs w:val="28"/>
          <w:u w:val=""/>
        </w:rPr>
        <w:t xml:space="preserve">форс-мажор, материальный ущерб.</w:t>
      </w:r>
    </w:p>
    <w:p>
      <w:pPr>
        <w:jc w:val="both"/>
        <w:ind/>
        <w:spacing w:before="0" w:after="0" w:line="288" w:lineRule="auto"/>
      </w:pPr>
      <w:r>
        <w:rPr>
          <w:rFonts w:ascii="Times New Roman" w:hAnsi="Times New Roman" w:eastAsia="Times New Roman" w:cs="Times New Roman"/>
          <w:sz w:val="28"/>
          <w:szCs w:val="28"/>
          <w:b/>
          <w:u w:val=""/>
        </w:rPr>
        <w:t xml:space="preserve">Риски, связанные с эксплуатацией предприятия:</w:t>
      </w:r>
    </w:p>
    <w:p>
      <w:pPr>
        <w:jc w:val="both"/>
        <w:ind w:left="192"/>
        <w:spacing w:before="0" w:after="0" w:line="288" w:lineRule="auto"/>
        <w:numPr>
          <w:ilvl w:val="0"/>
          <w:numId w:val="119"/>
        </w:numPr>
        <w:rPr>
          <w:sz w:val="28"/>
          <w:szCs w:val="28"/>
          <w:u w:val=""/>
        </w:rPr>
      </w:pPr>
      <w:r>
        <w:rPr>
          <w:rFonts w:ascii="Times New Roman" w:hAnsi="Times New Roman" w:eastAsia="Times New Roman" w:cs="Times New Roman"/>
          <w:sz w:val="28"/>
          <w:szCs w:val="28"/>
          <w:u w:val=""/>
        </w:rPr>
        <w:t xml:space="preserve"> невыход    на проектную мощность (возникновение     технологических или сырьевых ограничений);</w:t>
      </w:r>
    </w:p>
    <w:p>
      <w:pPr>
        <w:jc w:val="both"/>
        <w:ind w:left="192"/>
        <w:spacing w:before="0" w:after="0" w:line="288" w:lineRule="auto"/>
        <w:numPr>
          <w:ilvl w:val="0"/>
          <w:numId w:val="119"/>
        </w:numPr>
        <w:rPr>
          <w:sz w:val="28"/>
          <w:szCs w:val="28"/>
          <w:u w:val=""/>
        </w:rPr>
      </w:pPr>
      <w:r>
        <w:rPr>
          <w:rFonts w:ascii="Times New Roman" w:hAnsi="Times New Roman" w:eastAsia="Times New Roman" w:cs="Times New Roman"/>
          <w:sz w:val="28"/>
          <w:szCs w:val="28"/>
          <w:u w:val=""/>
        </w:rPr>
        <w:t xml:space="preserve">выпуск продукции несоответствующего качества (возникновение технологических или сырьевых ограничений);</w:t>
      </w:r>
    </w:p>
    <w:p>
      <w:pPr>
        <w:jc w:val="both"/>
        <w:ind w:left="192"/>
        <w:spacing w:before="0" w:after="0" w:line="288" w:lineRule="auto"/>
        <w:numPr>
          <w:ilvl w:val="0"/>
          <w:numId w:val="119"/>
        </w:numPr>
        <w:rPr>
          <w:sz w:val="28"/>
          <w:szCs w:val="28"/>
          <w:u w:val=""/>
        </w:rPr>
      </w:pPr>
      <w:r>
        <w:rPr>
          <w:rFonts w:ascii="Times New Roman" w:hAnsi="Times New Roman" w:eastAsia="Times New Roman" w:cs="Times New Roman"/>
          <w:sz w:val="28"/>
          <w:szCs w:val="28"/>
          <w:u w:val=""/>
        </w:rPr>
        <w:t xml:space="preserve">неудовлетворительный менеджмент;</w:t>
      </w:r>
    </w:p>
    <w:p>
      <w:pPr>
        <w:jc w:val="both"/>
        <w:ind w:left="192"/>
        <w:spacing w:before="0" w:after="0" w:line="288" w:lineRule="auto"/>
        <w:numPr>
          <w:ilvl w:val="0"/>
          <w:numId w:val="119"/>
        </w:numPr>
        <w:rPr>
          <w:sz w:val="28"/>
          <w:szCs w:val="28"/>
          <w:u w:val=""/>
        </w:rPr>
      </w:pPr>
      <w:r>
        <w:rPr>
          <w:rFonts w:ascii="Times New Roman" w:hAnsi="Times New Roman" w:eastAsia="Times New Roman" w:cs="Times New Roman"/>
          <w:sz w:val="28"/>
          <w:szCs w:val="28"/>
          <w:u w:val=""/>
        </w:rPr>
        <w:t xml:space="preserve">продукция не находит сбыта в нужном стоимостном выражении </w:t>
      </w:r>
      <w:r>
        <w:br/>
      </w:r>
      <w:r>
        <w:rPr>
          <w:rFonts w:ascii="Times New Roman" w:hAnsi="Times New Roman" w:eastAsia="Times New Roman" w:cs="Times New Roman"/>
          <w:sz w:val="28"/>
          <w:szCs w:val="28"/>
          <w:u w:val=""/>
        </w:rPr>
        <w:t xml:space="preserve">и в расчетные сроки (возникновение ценовых ограничений, переоценка емкости рынка или недооценка конкуренции при маркетинге);</w:t>
      </w:r>
    </w:p>
    <w:p>
      <w:pPr>
        <w:jc w:val="both"/>
        <w:ind w:left="192"/>
        <w:spacing w:before="0" w:after="0" w:line="288" w:lineRule="auto"/>
        <w:numPr>
          <w:ilvl w:val="0"/>
          <w:numId w:val="119"/>
        </w:numPr>
        <w:rPr>
          <w:sz w:val="28"/>
          <w:szCs w:val="28"/>
          <w:u w:val=""/>
        </w:rPr>
      </w:pPr>
      <w:r>
        <w:rPr>
          <w:rFonts w:ascii="Times New Roman" w:hAnsi="Times New Roman" w:eastAsia="Times New Roman" w:cs="Times New Roman"/>
          <w:sz w:val="28"/>
          <w:szCs w:val="28"/>
          <w:u w:val=""/>
        </w:rPr>
        <w:t xml:space="preserve">несвоевременность поставок сырья;</w:t>
      </w:r>
    </w:p>
    <w:p>
      <w:pPr>
        <w:jc w:val="both"/>
        <w:ind w:left="192"/>
        <w:spacing w:before="0" w:after="0" w:line="288" w:lineRule="auto"/>
        <w:numPr>
          <w:ilvl w:val="0"/>
          <w:numId w:val="119"/>
        </w:numPr>
        <w:rPr>
          <w:sz w:val="28"/>
          <w:szCs w:val="28"/>
          <w:u w:val=""/>
        </w:rPr>
      </w:pPr>
      <w:r>
        <w:rPr>
          <w:rFonts w:ascii="Times New Roman" w:hAnsi="Times New Roman" w:eastAsia="Times New Roman" w:cs="Times New Roman"/>
          <w:sz w:val="28"/>
          <w:szCs w:val="28"/>
          <w:u w:val=""/>
        </w:rPr>
        <w:t xml:space="preserve">возникновение необходимости в дополнительных (сверх бизнес-плана) закупках сырья;</w:t>
      </w:r>
    </w:p>
    <w:p>
      <w:pPr>
        <w:jc w:val="both"/>
        <w:ind w:left="192"/>
        <w:spacing w:before="0" w:after="0" w:line="288" w:lineRule="auto"/>
        <w:numPr>
          <w:ilvl w:val="0"/>
          <w:numId w:val="119"/>
        </w:numPr>
        <w:rPr>
          <w:sz w:val="28"/>
          <w:szCs w:val="28"/>
          <w:u w:val=""/>
        </w:rPr>
      </w:pPr>
      <w:r>
        <w:rPr>
          <w:rFonts w:ascii="Times New Roman" w:hAnsi="Times New Roman" w:eastAsia="Times New Roman" w:cs="Times New Roman"/>
          <w:sz w:val="28"/>
          <w:szCs w:val="28"/>
          <w:u w:val=""/>
        </w:rPr>
        <w:t xml:space="preserve">инфляция затрат (опережающий рост цен на сырье, энергоносители </w:t>
      </w:r>
      <w:r>
        <w:br/>
      </w:r>
      <w:r>
        <w:rPr>
          <w:rFonts w:ascii="Times New Roman" w:hAnsi="Times New Roman" w:eastAsia="Times New Roman" w:cs="Times New Roman"/>
          <w:sz w:val="28"/>
          <w:szCs w:val="28"/>
          <w:u w:val=""/>
        </w:rPr>
        <w:t xml:space="preserve">и др. статьи затрат);</w:t>
      </w:r>
    </w:p>
    <w:p>
      <w:pPr>
        <w:jc w:val="both"/>
        <w:ind w:left="192"/>
        <w:spacing w:before="0" w:after="0" w:line="288" w:lineRule="auto"/>
        <w:numPr>
          <w:ilvl w:val="0"/>
          <w:numId w:val="119"/>
        </w:numPr>
        <w:rPr>
          <w:sz w:val="28"/>
          <w:szCs w:val="28"/>
          <w:u w:val=""/>
        </w:rPr>
      </w:pPr>
      <w:r>
        <w:rPr>
          <w:rFonts w:ascii="Times New Roman" w:hAnsi="Times New Roman" w:eastAsia="Times New Roman" w:cs="Times New Roman"/>
          <w:sz w:val="28"/>
          <w:szCs w:val="28"/>
          <w:u w:val=""/>
        </w:rPr>
        <w:t xml:space="preserve">удорожание финансирования (негативные изменения валютного курса);</w:t>
      </w:r>
    </w:p>
    <w:p>
      <w:pPr>
        <w:jc w:val="both"/>
        <w:ind w:left="192"/>
        <w:spacing w:before="0" w:after="0" w:line="288" w:lineRule="auto"/>
        <w:numPr>
          <w:ilvl w:val="0"/>
          <w:numId w:val="119"/>
        </w:numPr>
        <w:rPr>
          <w:sz w:val="28"/>
          <w:szCs w:val="28"/>
          <w:u w:val=""/>
        </w:rPr>
      </w:pPr>
      <w:r>
        <w:rPr>
          <w:rFonts w:ascii="Times New Roman" w:hAnsi="Times New Roman" w:eastAsia="Times New Roman" w:cs="Times New Roman"/>
          <w:sz w:val="28"/>
          <w:szCs w:val="28"/>
          <w:u w:val=""/>
        </w:rPr>
        <w:t xml:space="preserve">транспортные риски;</w:t>
      </w:r>
    </w:p>
    <w:p>
      <w:pPr>
        <w:jc w:val="both"/>
        <w:ind w:left="192"/>
        <w:spacing w:before="0" w:after="0" w:line="288" w:lineRule="auto"/>
        <w:numPr>
          <w:ilvl w:val="0"/>
          <w:numId w:val="119"/>
        </w:numPr>
        <w:rPr>
          <w:sz w:val="28"/>
          <w:szCs w:val="28"/>
          <w:u w:val=""/>
        </w:rPr>
      </w:pPr>
      <w:r>
        <w:rPr>
          <w:rFonts w:ascii="Times New Roman" w:hAnsi="Times New Roman" w:eastAsia="Times New Roman" w:cs="Times New Roman"/>
          <w:sz w:val="28"/>
          <w:szCs w:val="28"/>
          <w:u w:val=""/>
        </w:rPr>
        <w:t xml:space="preserve">экологические риски (возникновение непредвиденных затрат </w:t>
      </w:r>
      <w:r>
        <w:br/>
      </w:r>
      <w:r>
        <w:rPr>
          <w:rFonts w:ascii="Times New Roman" w:hAnsi="Times New Roman" w:eastAsia="Times New Roman" w:cs="Times New Roman"/>
          <w:sz w:val="28"/>
          <w:szCs w:val="28"/>
          <w:u w:val=""/>
        </w:rPr>
        <w:t xml:space="preserve">на возмещение ущерба);</w:t>
      </w:r>
    </w:p>
    <w:p>
      <w:pPr>
        <w:jc w:val="both"/>
        <w:ind w:left="192"/>
        <w:spacing w:before="0" w:after="0" w:line="288" w:lineRule="auto"/>
        <w:numPr>
          <w:ilvl w:val="0"/>
          <w:numId w:val="119"/>
        </w:numPr>
        <w:rPr>
          <w:sz w:val="28"/>
          <w:szCs w:val="28"/>
          <w:u w:val=""/>
        </w:rPr>
      </w:pPr>
      <w:r>
        <w:rPr>
          <w:rFonts w:ascii="Times New Roman" w:hAnsi="Times New Roman" w:eastAsia="Times New Roman" w:cs="Times New Roman"/>
          <w:sz w:val="28"/>
          <w:szCs w:val="28"/>
          <w:u w:val=""/>
        </w:rPr>
        <w:t xml:space="preserve">форс-мажор, материальный ущерб.</w:t>
      </w:r>
    </w:p>
    <w:p>
      <w:pPr>
        <w:jc w:val="both"/>
        <w:ind/>
        <w:spacing w:before="0" w:after="0" w:line="288" w:lineRule="auto"/>
      </w:pPr>
      <w:r>
        <w:rPr>
          <w:rFonts w:ascii="Times New Roman" w:hAnsi="Times New Roman" w:eastAsia="Times New Roman" w:cs="Times New Roman"/>
          <w:sz w:val="28"/>
          <w:szCs w:val="28"/>
          <w:b/>
          <w:u w:val=""/>
        </w:rPr>
        <w:t xml:space="preserve">Методы снижения рисков</w:t>
      </w:r>
    </w:p>
    <w:p>
      <w:pPr>
        <w:jc w:val="both"/>
        <w:ind/>
        <w:spacing w:before="0" w:after="0" w:line="288" w:lineRule="auto"/>
      </w:pPr>
      <w:r>
        <w:rPr>
          <w:rFonts w:ascii="Times New Roman" w:hAnsi="Times New Roman" w:eastAsia="Times New Roman" w:cs="Times New Roman"/>
          <w:sz w:val="28"/>
          <w:szCs w:val="28"/>
          <w:u w:val=""/>
        </w:rPr>
        <w:t xml:space="preserve">Наличие гарантий (в том числе банковских) от поставщиков технологии </w:t>
      </w:r>
      <w:r>
        <w:br/>
      </w:r>
      <w:r>
        <w:rPr>
          <w:rFonts w:ascii="Times New Roman" w:hAnsi="Times New Roman" w:eastAsia="Times New Roman" w:cs="Times New Roman"/>
          <w:sz w:val="28"/>
          <w:szCs w:val="28"/>
          <w:u w:val=""/>
        </w:rPr>
        <w:t xml:space="preserve">и оборудования, а также от подрядчиков:</w:t>
      </w:r>
    </w:p>
    <w:p>
      <w:pPr>
        <w:jc w:val="both"/>
        <w:ind w:left="496"/>
        <w:spacing w:before="0" w:after="0" w:line="288" w:lineRule="auto"/>
        <w:numPr>
          <w:ilvl w:val="0"/>
          <w:numId w:val="120"/>
        </w:numPr>
        <w:rPr>
          <w:sz w:val="28"/>
          <w:szCs w:val="28"/>
          <w:u w:val=""/>
        </w:rPr>
      </w:pPr>
      <w:r>
        <w:rPr>
          <w:rFonts w:ascii="Times New Roman" w:hAnsi="Times New Roman" w:eastAsia="Times New Roman" w:cs="Times New Roman"/>
          <w:sz w:val="28"/>
          <w:szCs w:val="28"/>
          <w:u w:val=""/>
        </w:rPr>
        <w:t xml:space="preserve">возврата аванса;</w:t>
      </w:r>
    </w:p>
    <w:p>
      <w:pPr>
        <w:jc w:val="both"/>
        <w:ind w:left="496"/>
        <w:spacing w:before="0" w:after="0" w:line="288" w:lineRule="auto"/>
        <w:numPr>
          <w:ilvl w:val="0"/>
          <w:numId w:val="120"/>
        </w:numPr>
        <w:rPr>
          <w:sz w:val="28"/>
          <w:szCs w:val="28"/>
          <w:u w:val=""/>
        </w:rPr>
      </w:pPr>
      <w:r>
        <w:rPr>
          <w:rFonts w:ascii="Times New Roman" w:hAnsi="Times New Roman" w:eastAsia="Times New Roman" w:cs="Times New Roman"/>
          <w:sz w:val="28"/>
          <w:szCs w:val="28"/>
          <w:u w:val=""/>
        </w:rPr>
        <w:t xml:space="preserve">надлежащего исполнения контрактов; своевременного завершения строительства.</w:t>
      </w:r>
    </w:p>
    <w:p>
      <w:pPr>
        <w:jc w:val="both"/>
        <w:ind/>
        <w:spacing w:before="0" w:after="0" w:line="288" w:lineRule="auto"/>
      </w:pPr>
      <w:r>
        <w:rPr>
          <w:rFonts w:ascii="Times New Roman" w:hAnsi="Times New Roman" w:eastAsia="Times New Roman" w:cs="Times New Roman"/>
          <w:sz w:val="28"/>
          <w:szCs w:val="28"/>
          <w:u w:val=""/>
        </w:rPr>
        <w:t xml:space="preserve">Контракты на базе твердых цен, «под ключ», наличие валютных оговорок, штрафных санкций, применение национального законодательства при разрешении споров и т.п.</w:t>
      </w:r>
    </w:p>
    <w:p>
      <w:pPr>
        <w:jc w:val="both"/>
        <w:ind/>
        <w:spacing w:before="0" w:after="0" w:line="288" w:lineRule="auto"/>
      </w:pPr>
      <w:r>
        <w:rPr>
          <w:rFonts w:ascii="Times New Roman" w:hAnsi="Times New Roman" w:eastAsia="Times New Roman" w:cs="Times New Roman"/>
          <w:sz w:val="28"/>
          <w:szCs w:val="28"/>
          <w:u w:val=""/>
        </w:rPr>
        <w:t xml:space="preserve">Наличие долгосрочных контрактов с поставщиками сырья, материалов, комплектующих. Наличие долгосрочных договоров на сбыт готовой продукции.</w:t>
      </w:r>
    </w:p>
    <w:p>
      <w:pPr>
        <w:jc w:val="both"/>
        <w:ind/>
        <w:spacing w:before="0" w:after="0" w:line="288" w:lineRule="auto"/>
      </w:pPr>
      <w:r>
        <w:rPr>
          <w:rFonts w:ascii="Times New Roman" w:hAnsi="Times New Roman" w:eastAsia="Times New Roman" w:cs="Times New Roman"/>
          <w:sz w:val="28"/>
          <w:szCs w:val="28"/>
          <w:u w:val=""/>
        </w:rPr>
        <w:t xml:space="preserve">Наличие альтернативных поставщиков сырья и покупателей готовой продукции. Создание запасов сырья, материалов, комплектующих и готовой продукции.</w:t>
      </w:r>
    </w:p>
    <w:p>
      <w:pPr>
        <w:jc w:val="both"/>
        <w:ind/>
        <w:spacing w:before="0" w:after="0" w:line="288" w:lineRule="auto"/>
      </w:pPr>
      <w:r>
        <w:rPr>
          <w:rFonts w:ascii="Times New Roman" w:hAnsi="Times New Roman" w:eastAsia="Times New Roman" w:cs="Times New Roman"/>
          <w:sz w:val="28"/>
          <w:szCs w:val="28"/>
          <w:u w:val=""/>
        </w:rPr>
        <w:t xml:space="preserve">Приемлемое соотношение собственных и заемных средств в составе источников финансирования проекта.</w:t>
      </w:r>
    </w:p>
    <w:p>
      <w:pPr>
        <w:jc w:val="both"/>
        <w:ind/>
        <w:spacing w:before="0" w:after="0" w:line="288" w:lineRule="auto"/>
      </w:pPr>
      <w:r>
        <w:rPr>
          <w:rFonts w:ascii="Times New Roman" w:hAnsi="Times New Roman" w:eastAsia="Times New Roman" w:cs="Times New Roman"/>
          <w:sz w:val="28"/>
          <w:szCs w:val="28"/>
          <w:u w:val=""/>
        </w:rPr>
        <w:t xml:space="preserve">Единообразие валют источников финансирования и контрактов </w:t>
      </w:r>
      <w:r>
        <w:br/>
      </w:r>
      <w:r>
        <w:rPr>
          <w:rFonts w:ascii="Times New Roman" w:hAnsi="Times New Roman" w:eastAsia="Times New Roman" w:cs="Times New Roman"/>
          <w:sz w:val="28"/>
          <w:szCs w:val="28"/>
          <w:u w:val=""/>
        </w:rPr>
        <w:t xml:space="preserve">на поставку оборудования, закупку сырья и сбыт готовой продукции.</w:t>
      </w:r>
    </w:p>
    <w:p>
      <w:pPr>
        <w:jc w:val="both"/>
        <w:ind/>
        <w:spacing w:before="0" w:after="0" w:line="288" w:lineRule="auto"/>
      </w:pPr>
      <w:r>
        <w:rPr>
          <w:rFonts w:ascii="Times New Roman" w:hAnsi="Times New Roman" w:eastAsia="Times New Roman" w:cs="Times New Roman"/>
          <w:sz w:val="28"/>
          <w:szCs w:val="28"/>
          <w:u w:val=""/>
        </w:rPr>
        <w:t xml:space="preserve">Наличие источников финансирования для формирования (пополнения) оборотного капитала с учетом запасов и платежного цикла проекта.</w:t>
      </w:r>
    </w:p>
    <w:p>
      <w:pPr>
        <w:jc w:val="both"/>
        <w:ind/>
        <w:spacing w:before="0" w:after="0" w:line="288" w:lineRule="auto"/>
      </w:pPr>
      <w:r>
        <w:rPr>
          <w:rFonts w:ascii="Times New Roman" w:hAnsi="Times New Roman" w:eastAsia="Times New Roman" w:cs="Times New Roman"/>
          <w:sz w:val="28"/>
          <w:szCs w:val="28"/>
          <w:u w:val=""/>
        </w:rPr>
        <w:t xml:space="preserve">Приемлемый коэффициент покрытия ссудной задолженности.</w:t>
      </w:r>
    </w:p>
    <w:p>
      <w:pPr>
        <w:jc w:val="both"/>
        <w:ind/>
        <w:spacing w:before="0" w:after="0" w:line="288" w:lineRule="auto"/>
      </w:pPr>
      <w:r>
        <w:rPr>
          <w:rFonts w:ascii="Times New Roman" w:hAnsi="Times New Roman" w:eastAsia="Times New Roman" w:cs="Times New Roman"/>
          <w:sz w:val="28"/>
          <w:szCs w:val="28"/>
          <w:u w:val=""/>
        </w:rPr>
        <w:t xml:space="preserve">Ограничения выплат дивидендов на период погашения инвестиционного кредита. Страхование имущества, валютных рисков и т.п.</w:t>
      </w:r>
    </w:p>
    <w:p>
      <w:pPr>
        <w:jc w:val="both"/>
        <w:ind/>
        <w:spacing w:before="0" w:after="0" w:line="288" w:lineRule="auto"/>
      </w:pPr>
      <w:r>
        <w:rPr>
          <w:rFonts w:ascii="Times New Roman" w:hAnsi="Times New Roman" w:eastAsia="Times New Roman" w:cs="Times New Roman"/>
          <w:sz w:val="28"/>
          <w:szCs w:val="28"/>
          <w:u w:val=""/>
        </w:rPr>
        <w:t xml:space="preserve">Открытие депонированных (накопительных) счетов в банке-кредиторе. Наличие достаточного обеспечения.</w:t>
      </w:r>
    </w:p>
    <w:p>
      <w:pPr>
        <w:jc w:val="both"/>
        <w:ind/>
        <w:spacing w:before="0" w:after="0" w:line="288" w:lineRule="auto"/>
      </w:pPr>
      <w:r>
        <w:rPr>
          <w:rFonts w:ascii="Times New Roman" w:hAnsi="Times New Roman" w:eastAsia="Times New Roman" w:cs="Times New Roman"/>
          <w:sz w:val="28"/>
          <w:szCs w:val="28"/>
          <w:u w:val=""/>
        </w:rPr>
        <w:t xml:space="preserve">Наличие экологической экспертизы.</w:t>
      </w:r>
    </w:p>
    <w:p>
      <w:pPr>
        <w:jc w:val="both"/>
        <w:ind/>
        <w:spacing w:before="0" w:after="0" w:line="288" w:lineRule="auto"/>
      </w:pPr>
      <w:r>
        <w:rPr>
          <w:rFonts w:ascii="Times New Roman" w:hAnsi="Times New Roman" w:eastAsia="Times New Roman" w:cs="Times New Roman"/>
          <w:sz w:val="28"/>
          <w:szCs w:val="28"/>
          <w:u w:val=""/>
        </w:rPr>
        <w:t xml:space="preserve">Формирование благоприятного отношения к проекту в СМИ. Поддержка проекта со стороны местных органов власти.</w:t>
      </w:r>
    </w:p>
    <w:p>
      <w:pPr>
        <w:jc w:val="left"/>
        <w:ind/>
        <w:spacing w:before="0" w:after="0" w:line="432" w:lineRule="auto"/>
      </w:pPr>
      <w:r>
        <w:rPr>
          <w:sz w:val="28"/>
          <w:szCs w:val="28"/>
          <w:u w:val=""/>
        </w:rPr>
        <w:t xml:space="preserve"> </w:t>
      </w:r>
    </w:p>
    <w:p>
      <w:pPr>
        <w:jc w:val="center"/>
        <w:ind w:left="192"/>
        <w:spacing w:before="0" w:after="0" w:line="288" w:lineRule="auto"/>
        <w:numPr>
          <w:ilvl w:val="0"/>
          <w:numId w:val="121"/>
        </w:numPr>
        <w:rPr>
          <w:sz w:val="28"/>
          <w:szCs w:val="28"/>
          <w:u w:val=""/>
        </w:rPr>
      </w:pPr>
      <w:r>
        <w:rPr>
          <w:rFonts w:ascii="Times New Roman" w:hAnsi="Times New Roman" w:eastAsia="Times New Roman" w:cs="Times New Roman"/>
          <w:sz w:val="28"/>
          <w:szCs w:val="28"/>
          <w:b/>
          <w:u w:val=""/>
        </w:rPr>
        <w:t xml:space="preserve">Обеспечение</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b/>
          <w:u w:val=""/>
        </w:rPr>
        <w:t xml:space="preserve">Приводится расчет необходимого объема обеспечения, а также данные о предлагаемом обеспечении.</w:t>
      </w:r>
    </w:p>
    <w:p>
      <w:pPr>
        <w:jc w:val="both"/>
        <w:ind/>
        <w:spacing w:before="0" w:after="0" w:line="288" w:lineRule="auto"/>
      </w:pPr>
      <w:r>
        <w:rPr>
          <w:rFonts w:ascii="Times New Roman" w:hAnsi="Times New Roman" w:eastAsia="Times New Roman" w:cs="Times New Roman"/>
          <w:sz w:val="28"/>
          <w:szCs w:val="28"/>
          <w:u w:val=""/>
        </w:rPr>
        <w:t xml:space="preserve">Расчет требуемого объема обеспечения производится в соответствии </w:t>
      </w:r>
      <w:r>
        <w:br/>
      </w:r>
      <w:r>
        <w:rPr>
          <w:rFonts w:ascii="Times New Roman" w:hAnsi="Times New Roman" w:eastAsia="Times New Roman" w:cs="Times New Roman"/>
          <w:sz w:val="28"/>
          <w:szCs w:val="28"/>
          <w:u w:val=""/>
        </w:rPr>
        <w:t xml:space="preserve">с требованиями АО «КАВКАЗ.РФ».</w:t>
      </w:r>
    </w:p>
    <w:p>
      <w:pPr>
        <w:jc w:val="both"/>
        <w:ind/>
        <w:spacing w:before="0" w:after="0" w:line="288" w:lineRule="auto"/>
      </w:pPr>
      <w:r>
        <w:rPr>
          <w:rFonts w:ascii="Times New Roman" w:hAnsi="Times New Roman" w:eastAsia="Times New Roman" w:cs="Times New Roman"/>
          <w:sz w:val="28"/>
          <w:szCs w:val="28"/>
          <w:b/>
          <w:u w:val=""/>
        </w:rPr>
        <w:t xml:space="preserve">В качестве способов обеспечения исполнения обязательств заемщиков в рамках инвестиционных проектов АО «КАВКАЗ.РФ» принимаются:</w:t>
      </w:r>
    </w:p>
    <w:p>
      <w:pPr>
        <w:jc w:val="both"/>
        <w:ind w:left="192"/>
        <w:spacing w:before="0" w:after="0" w:line="288" w:lineRule="auto"/>
        <w:numPr>
          <w:ilvl w:val="0"/>
          <w:numId w:val="122"/>
        </w:numPr>
        <w:rPr>
          <w:sz w:val="28"/>
          <w:szCs w:val="28"/>
          <w:u w:val=""/>
        </w:rPr>
      </w:pPr>
      <w:r>
        <w:rPr>
          <w:rFonts w:ascii="Times New Roman" w:hAnsi="Times New Roman" w:eastAsia="Times New Roman" w:cs="Times New Roman"/>
          <w:sz w:val="28"/>
          <w:szCs w:val="28"/>
          <w:u w:val=""/>
        </w:rPr>
        <w:t xml:space="preserve">залог товаров в обороте (товарно-материальных ценностей, в том числе готовой продукции, сырья);</w:t>
      </w:r>
    </w:p>
    <w:p>
      <w:pPr>
        <w:jc w:val="both"/>
        <w:ind w:left="192"/>
        <w:spacing w:before="0" w:after="0" w:line="288" w:lineRule="auto"/>
        <w:numPr>
          <w:ilvl w:val="0"/>
          <w:numId w:val="122"/>
        </w:numPr>
        <w:rPr>
          <w:sz w:val="28"/>
          <w:szCs w:val="28"/>
          <w:u w:val=""/>
        </w:rPr>
      </w:pPr>
      <w:r>
        <w:rPr>
          <w:rFonts w:ascii="Times New Roman" w:hAnsi="Times New Roman" w:eastAsia="Times New Roman" w:cs="Times New Roman"/>
          <w:sz w:val="28"/>
          <w:szCs w:val="28"/>
          <w:u w:val=""/>
        </w:rPr>
        <w:t xml:space="preserve">залог оборудования (станков, установок, технологических линий </w:t>
      </w:r>
      <w:r>
        <w:br/>
      </w:r>
      <w:r>
        <w:rPr>
          <w:rFonts w:ascii="Times New Roman" w:hAnsi="Times New Roman" w:eastAsia="Times New Roman" w:cs="Times New Roman"/>
          <w:sz w:val="28"/>
          <w:szCs w:val="28"/>
          <w:u w:val=""/>
        </w:rPr>
        <w:t xml:space="preserve">и т.д.); залог транспортных средств;</w:t>
      </w:r>
    </w:p>
    <w:p>
      <w:pPr>
        <w:jc w:val="both"/>
        <w:ind w:left="192"/>
        <w:spacing w:before="0" w:after="0" w:line="288" w:lineRule="auto"/>
        <w:numPr>
          <w:ilvl w:val="0"/>
          <w:numId w:val="122"/>
        </w:numPr>
        <w:rPr>
          <w:sz w:val="28"/>
          <w:szCs w:val="28"/>
          <w:u w:val=""/>
        </w:rPr>
      </w:pPr>
      <w:r>
        <w:rPr>
          <w:rFonts w:ascii="Times New Roman" w:hAnsi="Times New Roman" w:eastAsia="Times New Roman" w:cs="Times New Roman"/>
          <w:sz w:val="28"/>
          <w:szCs w:val="28"/>
          <w:u w:val=""/>
        </w:rPr>
        <w:t xml:space="preserve">залог объектов недвижимости (жилых (в исключительных случаях) </w:t>
      </w:r>
      <w:r>
        <w:br/>
      </w:r>
      <w:r>
        <w:rPr>
          <w:rFonts w:ascii="Times New Roman" w:hAnsi="Times New Roman" w:eastAsia="Times New Roman" w:cs="Times New Roman"/>
          <w:sz w:val="28"/>
          <w:szCs w:val="28"/>
          <w:u w:val=""/>
        </w:rPr>
        <w:t xml:space="preserve">и нежилых помещений (складов, производственных помещений, офисов и т.д.); земельных участков; объектов незавершенного строительства; морских судов, судов внутреннего плавания, судов смешанного («река-море») плавания и т.д.);</w:t>
      </w:r>
    </w:p>
    <w:p>
      <w:pPr>
        <w:jc w:val="both"/>
        <w:ind w:left="192"/>
        <w:spacing w:before="0" w:after="0" w:line="288" w:lineRule="auto"/>
        <w:numPr>
          <w:ilvl w:val="0"/>
          <w:numId w:val="122"/>
        </w:numPr>
        <w:rPr>
          <w:sz w:val="28"/>
          <w:szCs w:val="28"/>
          <w:u w:val=""/>
        </w:rPr>
      </w:pPr>
      <w:r>
        <w:rPr>
          <w:rFonts w:ascii="Times New Roman" w:hAnsi="Times New Roman" w:eastAsia="Times New Roman" w:cs="Times New Roman"/>
          <w:sz w:val="28"/>
          <w:szCs w:val="28"/>
          <w:u w:val=""/>
        </w:rPr>
        <w:t xml:space="preserve">залог сельскохозяйственных животных;</w:t>
      </w:r>
    </w:p>
    <w:p>
      <w:pPr>
        <w:jc w:val="both"/>
        <w:ind w:left="192"/>
        <w:spacing w:before="0" w:after="0" w:line="288" w:lineRule="auto"/>
        <w:numPr>
          <w:ilvl w:val="0"/>
          <w:numId w:val="122"/>
        </w:numPr>
        <w:rPr>
          <w:sz w:val="28"/>
          <w:szCs w:val="28"/>
          <w:u w:val=""/>
        </w:rPr>
      </w:pPr>
      <w:r>
        <w:rPr>
          <w:rFonts w:ascii="Times New Roman" w:hAnsi="Times New Roman" w:eastAsia="Times New Roman" w:cs="Times New Roman"/>
          <w:sz w:val="28"/>
          <w:szCs w:val="28"/>
          <w:u w:val=""/>
        </w:rPr>
        <w:t xml:space="preserve">залог доли/акций в уставном капитале;</w:t>
      </w:r>
    </w:p>
    <w:p>
      <w:pPr>
        <w:jc w:val="both"/>
        <w:ind/>
        <w:spacing w:before="0" w:after="0" w:line="288" w:lineRule="auto"/>
      </w:pPr>
      <w:r>
        <w:rPr>
          <w:rFonts w:ascii="Times New Roman" w:hAnsi="Times New Roman" w:eastAsia="Times New Roman" w:cs="Times New Roman"/>
          <w:sz w:val="28"/>
          <w:szCs w:val="28"/>
          <w:u w:val=""/>
        </w:rPr>
        <w:t xml:space="preserve">В отдельных случаях в качестве способов обеспечения в совокупности </w:t>
      </w:r>
      <w:r>
        <w:br/>
      </w:r>
      <w:r>
        <w:rPr>
          <w:rFonts w:ascii="Times New Roman" w:hAnsi="Times New Roman" w:eastAsia="Times New Roman" w:cs="Times New Roman"/>
          <w:sz w:val="28"/>
          <w:szCs w:val="28"/>
          <w:u w:val=""/>
        </w:rPr>
        <w:t xml:space="preserve">с другими способами обеспечения исполнения обязательств могут быть рассмотрены:</w:t>
      </w:r>
    </w:p>
    <w:p>
      <w:pPr>
        <w:jc w:val="both"/>
        <w:ind w:left="192"/>
        <w:spacing w:before="0" w:after="0" w:line="288" w:lineRule="auto"/>
        <w:numPr>
          <w:ilvl w:val="0"/>
          <w:numId w:val="123"/>
        </w:numPr>
        <w:rPr>
          <w:sz w:val="28"/>
          <w:szCs w:val="28"/>
          <w:u w:val=""/>
        </w:rPr>
      </w:pPr>
      <w:r>
        <w:rPr>
          <w:rFonts w:ascii="Times New Roman" w:hAnsi="Times New Roman" w:eastAsia="Times New Roman" w:cs="Times New Roman"/>
          <w:sz w:val="28"/>
          <w:szCs w:val="28"/>
          <w:u w:val=""/>
        </w:rPr>
        <w:t xml:space="preserve">залог имущества, приобретаемого в будущем;</w:t>
      </w:r>
    </w:p>
    <w:p>
      <w:pPr>
        <w:jc w:val="both"/>
        <w:ind w:left="192"/>
        <w:spacing w:before="0" w:after="0" w:line="288" w:lineRule="auto"/>
        <w:numPr>
          <w:ilvl w:val="0"/>
          <w:numId w:val="123"/>
        </w:numPr>
        <w:rPr>
          <w:sz w:val="28"/>
          <w:szCs w:val="28"/>
          <w:u w:val=""/>
        </w:rPr>
      </w:pPr>
      <w:r>
        <w:rPr>
          <w:rFonts w:ascii="Times New Roman" w:hAnsi="Times New Roman" w:eastAsia="Times New Roman" w:cs="Times New Roman"/>
          <w:sz w:val="28"/>
          <w:szCs w:val="28"/>
          <w:u w:val=""/>
        </w:rPr>
        <w:t xml:space="preserve">залог имущественных прав (в том числе, удостоверенных ценной бумагой); банковская гарантия;</w:t>
      </w:r>
    </w:p>
    <w:p>
      <w:pPr>
        <w:jc w:val="both"/>
        <w:ind w:left="192"/>
        <w:spacing w:before="0" w:after="0" w:line="288" w:lineRule="auto"/>
        <w:numPr>
          <w:ilvl w:val="0"/>
          <w:numId w:val="123"/>
        </w:numPr>
        <w:rPr>
          <w:sz w:val="28"/>
          <w:szCs w:val="28"/>
          <w:u w:val=""/>
        </w:rPr>
      </w:pPr>
      <w:r>
        <w:rPr>
          <w:rFonts w:ascii="Times New Roman" w:hAnsi="Times New Roman" w:eastAsia="Times New Roman" w:cs="Times New Roman"/>
          <w:sz w:val="28"/>
          <w:szCs w:val="28"/>
          <w:u w:val=""/>
        </w:rPr>
        <w:t xml:space="preserve">государственная гарантия субъекта Российской Федерации / муниципальная гарантия муниципального образования;</w:t>
      </w:r>
    </w:p>
    <w:p>
      <w:pPr>
        <w:jc w:val="both"/>
        <w:ind w:left="192"/>
        <w:spacing w:before="0" w:after="0" w:line="288" w:lineRule="auto"/>
        <w:numPr>
          <w:ilvl w:val="0"/>
          <w:numId w:val="123"/>
        </w:numPr>
        <w:rPr>
          <w:sz w:val="28"/>
          <w:szCs w:val="28"/>
          <w:u w:val=""/>
        </w:rPr>
      </w:pPr>
      <w:r>
        <w:rPr>
          <w:rFonts w:ascii="Times New Roman" w:hAnsi="Times New Roman" w:eastAsia="Times New Roman" w:cs="Times New Roman"/>
          <w:sz w:val="28"/>
          <w:szCs w:val="28"/>
          <w:u w:val=""/>
        </w:rPr>
        <w:t xml:space="preserve">поручительство.</w:t>
      </w:r>
    </w:p>
    <w:p>
      <w:pPr>
        <w:jc w:val="left"/>
        <w:ind/>
        <w:spacing w:before="0" w:after="0" w:line="432" w:lineRule="auto"/>
      </w:pPr>
      <w:r>
        <w:rPr>
          <w:sz w:val="28"/>
          <w:szCs w:val="28"/>
          <w:u w:val=""/>
        </w:rPr>
        <w:t xml:space="preserve"> </w:t>
      </w:r>
    </w:p>
    <w:p>
      <w:pPr>
        <w:jc w:val="left"/>
        <w:ind/>
        <w:spacing w:before="0" w:after="0" w:line="432" w:lineRule="auto"/>
      </w:pPr>
      <w:r>
        <w:rPr>
          <w:sz w:val="28"/>
          <w:szCs w:val="28"/>
          <w:u w:val=""/>
        </w:rPr>
        <w:t xml:space="preserve"> </w:t>
      </w:r>
    </w:p>
    <w:p>
      <w:pPr>
        <w:jc w:val="both"/>
        <w:ind w:left="192"/>
        <w:spacing w:before="0" w:after="0" w:line="288" w:lineRule="auto"/>
        <w:numPr>
          <w:ilvl w:val="0"/>
          <w:numId w:val="124"/>
        </w:numPr>
        <w:rPr>
          <w:sz w:val="28"/>
          <w:szCs w:val="28"/>
          <w:u w:val=""/>
        </w:rPr>
      </w:pPr>
      <w:r>
        <w:rPr>
          <w:rFonts w:ascii="Times New Roman" w:hAnsi="Times New Roman" w:eastAsia="Times New Roman" w:cs="Times New Roman"/>
          <w:sz w:val="28"/>
          <w:szCs w:val="28"/>
          <w:b/>
          <w:u w:val=""/>
        </w:rPr>
        <w:t xml:space="preserve">Требования по подготовке финансовой модели инвестиционного проекта, предоставляемой в Акционерное общество «Курорты Северного Кавказа»</w:t>
      </w:r>
    </w:p>
    <w:p>
      <w:pPr>
        <w:jc w:val="both"/>
        <w:ind/>
        <w:spacing w:before="0" w:after="0" w:line="288" w:lineRule="auto"/>
      </w:pPr>
      <w:r>
        <w:rPr>
          <w:rFonts w:ascii="Times New Roman" w:hAnsi="Times New Roman" w:eastAsia="Times New Roman" w:cs="Times New Roman"/>
          <w:sz w:val="28"/>
          <w:szCs w:val="28"/>
          <w:u w:val=""/>
        </w:rPr>
        <w:t xml:space="preserve"> </w:t>
      </w:r>
    </w:p>
    <w:p>
      <w:pPr>
        <w:jc w:val="center"/>
        <w:ind/>
        <w:spacing w:before="0" w:after="0" w:line="288" w:lineRule="auto"/>
      </w:pPr>
      <w:r>
        <w:rPr>
          <w:rFonts w:ascii="Times New Roman" w:hAnsi="Times New Roman" w:eastAsia="Times New Roman" w:cs="Times New Roman"/>
          <w:sz w:val="28"/>
          <w:szCs w:val="28"/>
          <w:b/>
          <w:u w:val=""/>
        </w:rPr>
        <w:t xml:space="preserve">1. Требования к функциональным возможностям финансовой модели</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u w:val=""/>
        </w:rPr>
        <w:t xml:space="preserve">Финансовая модель должна быть создана в формате Microsoft Excel (версия 97 или более поздняя), кроме случаев, когда иное согласовано с Банком. Имя файла финансовой модели должно ясно указывать на версию финансовой модели и дату подготовки. </w:t>
      </w:r>
    </w:p>
    <w:p>
      <w:pPr>
        <w:jc w:val="both"/>
        <w:ind/>
        <w:spacing w:before="0" w:after="0" w:line="288" w:lineRule="auto"/>
      </w:pPr>
      <w:r>
        <w:rPr>
          <w:rFonts w:ascii="Times New Roman" w:hAnsi="Times New Roman" w:eastAsia="Times New Roman" w:cs="Times New Roman"/>
          <w:sz w:val="28"/>
          <w:szCs w:val="28"/>
          <w:u w:val=""/>
        </w:rPr>
        <w:t xml:space="preserve">Никакая часть финансовой модели не должна быть скрыта, защищена, заблокирована или иным образом недоступна для просмотра и внесения изменений.</w:t>
      </w:r>
    </w:p>
    <w:p>
      <w:pPr>
        <w:jc w:val="both"/>
        <w:ind/>
        <w:spacing w:before="0" w:after="0" w:line="288" w:lineRule="auto"/>
      </w:pPr>
      <w:r>
        <w:rPr>
          <w:rFonts w:ascii="Times New Roman" w:hAnsi="Times New Roman" w:eastAsia="Times New Roman" w:cs="Times New Roman"/>
          <w:sz w:val="28"/>
          <w:szCs w:val="28"/>
          <w:u w:val=""/>
        </w:rPr>
        <w:t xml:space="preserve">Финансовая модель должна обладать понятной и логичной структурой. Последовательно должны быть представлены исходные данные (допущения), финансовые прогнозы и промежуточные расчеты, результаты финансовых прогнозов; указанные элементы должны быть визуально отделены друг </w:t>
      </w:r>
      <w:r>
        <w:br/>
      </w:r>
      <w:r>
        <w:rPr>
          <w:rFonts w:ascii="Times New Roman" w:hAnsi="Times New Roman" w:eastAsia="Times New Roman" w:cs="Times New Roman"/>
          <w:sz w:val="28"/>
          <w:szCs w:val="28"/>
          <w:u w:val=""/>
        </w:rPr>
        <w:t xml:space="preserve">от друга, но связаны между собой расчетными формулами.</w:t>
      </w:r>
    </w:p>
    <w:p>
      <w:pPr>
        <w:jc w:val="both"/>
        <w:ind/>
        <w:spacing w:before="0" w:after="0" w:line="288" w:lineRule="auto"/>
      </w:pPr>
      <w:r>
        <w:rPr>
          <w:rFonts w:ascii="Times New Roman" w:hAnsi="Times New Roman" w:eastAsia="Times New Roman" w:cs="Times New Roman"/>
          <w:sz w:val="28"/>
          <w:szCs w:val="28"/>
          <w:u w:val=""/>
        </w:rPr>
        <w:t xml:space="preserve">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(не предоставленные в составе Проектного предложения) </w:t>
      </w:r>
      <w:r>
        <w:br/>
      </w:r>
      <w:r>
        <w:rPr>
          <w:rFonts w:ascii="Times New Roman" w:hAnsi="Times New Roman" w:eastAsia="Times New Roman" w:cs="Times New Roman"/>
          <w:sz w:val="28"/>
          <w:szCs w:val="28"/>
          <w:u w:val=""/>
        </w:rPr>
        <w:t xml:space="preserve">и циклические ссылки. В исключительных случаях, факт и причина отступления от данных правил должны быть изложены в описании </w:t>
      </w:r>
      <w:r>
        <w:br/>
      </w:r>
      <w:r>
        <w:rPr>
          <w:rFonts w:ascii="Times New Roman" w:hAnsi="Times New Roman" w:eastAsia="Times New Roman" w:cs="Times New Roman"/>
          <w:sz w:val="28"/>
          <w:szCs w:val="28"/>
          <w:u w:val=""/>
        </w:rPr>
        <w:t xml:space="preserve">к финансовой модели. </w:t>
      </w:r>
    </w:p>
    <w:p>
      <w:pPr>
        <w:jc w:val="both"/>
        <w:ind/>
        <w:spacing w:before="0" w:after="0" w:line="288" w:lineRule="auto"/>
      </w:pPr>
      <w:r>
        <w:rPr>
          <w:rFonts w:ascii="Times New Roman" w:hAnsi="Times New Roman" w:eastAsia="Times New Roman" w:cs="Times New Roman"/>
          <w:sz w:val="28"/>
          <w:szCs w:val="28"/>
          <w:u w:val=""/>
        </w:rPr>
        <w:t xml:space="preserve">Финансовая модель должна допускать внесение изменений </w:t>
      </w:r>
      <w:r>
        <w:br/>
      </w:r>
      <w:r>
        <w:rPr>
          <w:rFonts w:ascii="Times New Roman" w:hAnsi="Times New Roman" w:eastAsia="Times New Roman" w:cs="Times New Roman"/>
          <w:sz w:val="28"/>
          <w:szCs w:val="28"/>
          <w:u w:val=""/>
        </w:rPr>
        <w:t xml:space="preserve">в первоначально заложенные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допущений (исходных данных) модели. </w:t>
      </w:r>
    </w:p>
    <w:p>
      <w:pPr>
        <w:jc w:val="both"/>
        <w:ind/>
        <w:spacing w:before="0" w:after="0" w:line="288" w:lineRule="auto"/>
      </w:pPr>
      <w:r>
        <w:rPr>
          <w:rFonts w:ascii="Times New Roman" w:hAnsi="Times New Roman" w:eastAsia="Times New Roman" w:cs="Times New Roman"/>
          <w:sz w:val="28"/>
          <w:szCs w:val="28"/>
          <w:u w:val=""/>
        </w:rPr>
        <w:t xml:space="preserve">Если финансовые показатели, полученные в финансовой модели, основаны на одной или более базовых моделях, необходимо обеспечить динамические связи между этими базовыми моделями и финансовой моделью так, чтобы при внесении изменений в любую базовую модель происходило обновление финансовой модели. </w:t>
      </w:r>
    </w:p>
    <w:p>
      <w:pPr>
        <w:jc w:val="both"/>
        <w:ind/>
        <w:spacing w:before="0" w:after="0" w:line="288" w:lineRule="auto"/>
      </w:pPr>
      <w:r>
        <w:rPr>
          <w:rFonts w:ascii="Times New Roman" w:hAnsi="Times New Roman" w:eastAsia="Times New Roman" w:cs="Times New Roman"/>
          <w:sz w:val="28"/>
          <w:szCs w:val="28"/>
          <w:u w:val=""/>
        </w:rPr>
        <w:t xml:space="preserve">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ее составе должны присутствовать взаимосвязанные друг с другом прогнозный отчет о прибылях </w:t>
      </w:r>
      <w:r>
        <w:br/>
      </w:r>
      <w:r>
        <w:rPr>
          <w:rFonts w:ascii="Times New Roman" w:hAnsi="Times New Roman" w:eastAsia="Times New Roman" w:cs="Times New Roman"/>
          <w:sz w:val="28"/>
          <w:szCs w:val="28"/>
          <w:u w:val=""/>
        </w:rPr>
        <w:t xml:space="preserve">и убытках, прогнозный баланс, прогнозный отчет о движении денежных средств. </w:t>
      </w:r>
    </w:p>
    <w:p>
      <w:pPr>
        <w:jc w:val="both"/>
        <w:ind/>
        <w:spacing w:before="0" w:after="0" w:line="288" w:lineRule="auto"/>
      </w:pPr>
      <w:r>
        <w:rPr>
          <w:rFonts w:ascii="Times New Roman" w:hAnsi="Times New Roman" w:eastAsia="Times New Roman" w:cs="Times New Roman"/>
          <w:sz w:val="28"/>
          <w:szCs w:val="28"/>
          <w:u w:val=""/>
        </w:rPr>
        <w:t xml:space="preserve">Формы прогнозной финансовой отчетности и промежуточные отчеты </w:t>
      </w:r>
      <w:r>
        <w:br/>
      </w:r>
      <w:r>
        <w:rPr>
          <w:rFonts w:ascii="Times New Roman" w:hAnsi="Times New Roman" w:eastAsia="Times New Roman" w:cs="Times New Roman"/>
          <w:sz w:val="28"/>
          <w:szCs w:val="28"/>
          <w:u w:val=""/>
        </w:rPr>
        <w:t xml:space="preserve">не должны противоречить друг другу. </w:t>
      </w:r>
    </w:p>
    <w:p>
      <w:pPr>
        <w:jc w:val="both"/>
        <w:ind/>
        <w:spacing w:before="0" w:after="0" w:line="288" w:lineRule="auto"/>
      </w:pPr>
      <w:r>
        <w:rPr>
          <w:rFonts w:ascii="Times New Roman" w:hAnsi="Times New Roman" w:eastAsia="Times New Roman" w:cs="Times New Roman"/>
          <w:sz w:val="28"/>
          <w:szCs w:val="28"/>
          <w:u w:val=""/>
        </w:rPr>
        <w:t xml:space="preserve">Финансовая модель должна отвечать принципу единообразия </w:t>
      </w:r>
      <w:r>
        <w:br/>
      </w:r>
      <w:r>
        <w:rPr>
          <w:rFonts w:ascii="Times New Roman" w:hAnsi="Times New Roman" w:eastAsia="Times New Roman" w:cs="Times New Roman"/>
          <w:sz w:val="28"/>
          <w:szCs w:val="28"/>
          <w:u w:val=""/>
        </w:rPr>
        <w:t xml:space="preserve">и последовательности в расчетах и форматировании. Формулы расчета финансовых показателей (коэффициентов), которые присутствуют </w:t>
      </w:r>
      <w:r>
        <w:br/>
      </w:r>
      <w:r>
        <w:rPr>
          <w:rFonts w:ascii="Times New Roman" w:hAnsi="Times New Roman" w:eastAsia="Times New Roman" w:cs="Times New Roman"/>
          <w:sz w:val="28"/>
          <w:szCs w:val="28"/>
          <w:u w:val=""/>
        </w:rPr>
        <w:t xml:space="preserve">в финансовой модели, должны быть неизменными для всех частей и периодов финансовой модели. </w:t>
      </w:r>
    </w:p>
    <w:p>
      <w:pPr>
        <w:jc w:val="both"/>
        <w:ind/>
        <w:spacing w:before="0" w:after="0" w:line="288" w:lineRule="auto"/>
      </w:pPr>
      <w:r>
        <w:rPr>
          <w:rFonts w:ascii="Times New Roman" w:hAnsi="Times New Roman" w:eastAsia="Times New Roman" w:cs="Times New Roman"/>
          <w:sz w:val="28"/>
          <w:szCs w:val="28"/>
          <w:u w:val=""/>
        </w:rPr>
        <w:t xml:space="preserve">Не допускается наличие внешних файлов. </w:t>
      </w:r>
    </w:p>
    <w:p>
      <w:pPr>
        <w:jc w:val="left"/>
        <w:ind/>
        <w:spacing w:before="0" w:after="0" w:line="432" w:lineRule="auto"/>
      </w:pPr>
      <w:r>
        <w:rPr>
          <w:sz w:val="28"/>
          <w:szCs w:val="28"/>
          <w:u w:val=""/>
        </w:rPr>
        <w:t xml:space="preserve"> </w:t>
      </w:r>
    </w:p>
    <w:p>
      <w:pPr>
        <w:jc w:val="center"/>
        <w:ind/>
        <w:spacing w:before="0" w:after="0" w:line="288" w:lineRule="auto"/>
      </w:pPr>
      <w:r>
        <w:rPr>
          <w:rFonts w:ascii="Times New Roman" w:hAnsi="Times New Roman" w:eastAsia="Times New Roman" w:cs="Times New Roman"/>
          <w:sz w:val="28"/>
          <w:szCs w:val="28"/>
          <w:b/>
          <w:u w:val=""/>
        </w:rPr>
        <w:t xml:space="preserve">2. Требования к составу исходных данных (допущений) финансовой модели</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u w:val=""/>
        </w:rPr>
        <w:t xml:space="preserve">Исходные данные (допущения), на которых построены финансовые прогнозы, должны быть представлены в описании к финансовой модели </w:t>
      </w:r>
      <w:r>
        <w:br/>
      </w:r>
      <w:r>
        <w:rPr>
          <w:rFonts w:ascii="Times New Roman" w:hAnsi="Times New Roman" w:eastAsia="Times New Roman" w:cs="Times New Roman"/>
          <w:sz w:val="28"/>
          <w:szCs w:val="28"/>
          <w:u w:val=""/>
        </w:rPr>
        <w:t xml:space="preserve">или в бизнес-плане. </w:t>
      </w:r>
    </w:p>
    <w:p>
      <w:pPr>
        <w:jc w:val="both"/>
        <w:ind/>
        <w:spacing w:before="0" w:after="0" w:line="288" w:lineRule="auto"/>
      </w:pPr>
      <w:r>
        <w:rPr>
          <w:rFonts w:ascii="Times New Roman" w:hAnsi="Times New Roman" w:eastAsia="Times New Roman" w:cs="Times New Roman"/>
          <w:sz w:val="28"/>
          <w:szCs w:val="28"/>
          <w:u w:val=""/>
        </w:rPr>
        <w:t xml:space="preserve">Список источников для исходных данных (допущений) указан в разделе </w:t>
      </w:r>
      <w:r>
        <w:br/>
      </w:r>
      <w:r>
        <w:rPr>
          <w:rFonts w:ascii="Times New Roman" w:hAnsi="Times New Roman" w:eastAsia="Times New Roman" w:cs="Times New Roman"/>
          <w:sz w:val="28"/>
          <w:szCs w:val="28"/>
          <w:u w:val=""/>
        </w:rPr>
        <w:t xml:space="preserve">4 данного Перечня. </w:t>
      </w:r>
    </w:p>
    <w:p>
      <w:pPr>
        <w:jc w:val="both"/>
        <w:ind/>
        <w:spacing w:before="0" w:after="0" w:line="288" w:lineRule="auto"/>
      </w:pPr>
      <w:r>
        <w:rPr>
          <w:rFonts w:ascii="Times New Roman" w:hAnsi="Times New Roman" w:eastAsia="Times New Roman" w:cs="Times New Roman"/>
          <w:sz w:val="28"/>
          <w:szCs w:val="28"/>
          <w:u w:val=""/>
        </w:rPr>
        <w:t xml:space="preserve">В числе исходных данных (допущений) финансовой модели должны быть указаны следующие (в случае их применимости к проекту): </w:t>
      </w:r>
    </w:p>
    <w:p>
      <w:pPr>
        <w:jc w:val="both"/>
        <w:ind/>
        <w:spacing w:before="0" w:after="0" w:line="288" w:lineRule="auto"/>
      </w:pPr>
      <w:r>
        <w:rPr>
          <w:rFonts w:ascii="Times New Roman" w:hAnsi="Times New Roman" w:eastAsia="Times New Roman" w:cs="Times New Roman"/>
          <w:sz w:val="28"/>
          <w:szCs w:val="28"/>
          <w:i/>
          <w:iCs/>
          <w:u w:val="single"/>
        </w:rPr>
        <w:t xml:space="preserve">Основные методические предположения, использованные при построении финансовых прогнозов, в том числе: </w:t>
      </w:r>
    </w:p>
    <w:p>
      <w:pPr>
        <w:jc w:val="both"/>
        <w:ind w:left="192"/>
        <w:spacing w:before="0" w:after="0" w:line="288" w:lineRule="auto"/>
        <w:numPr>
          <w:ilvl w:val="0"/>
          <w:numId w:val="125"/>
        </w:numPr>
        <w:rPr>
          <w:sz w:val="28"/>
          <w:szCs w:val="28"/>
          <w:u w:val=""/>
        </w:rPr>
      </w:pPr>
      <w:r>
        <w:rPr>
          <w:rFonts w:ascii="Times New Roman" w:hAnsi="Times New Roman" w:eastAsia="Times New Roman" w:cs="Times New Roman"/>
          <w:sz w:val="28"/>
          <w:szCs w:val="28"/>
          <w:u w:val=""/>
        </w:rPr>
        <w:t xml:space="preserve">срок жизни проекта; </w:t>
      </w:r>
    </w:p>
    <w:p>
      <w:pPr>
        <w:jc w:val="both"/>
        <w:ind w:left="192"/>
        <w:spacing w:before="0" w:after="0" w:line="288" w:lineRule="auto"/>
        <w:numPr>
          <w:ilvl w:val="0"/>
          <w:numId w:val="125"/>
        </w:numPr>
        <w:rPr>
          <w:sz w:val="28"/>
          <w:szCs w:val="28"/>
          <w:u w:val=""/>
        </w:rPr>
      </w:pPr>
      <w:r>
        <w:rPr>
          <w:rFonts w:ascii="Times New Roman" w:hAnsi="Times New Roman" w:eastAsia="Times New Roman" w:cs="Times New Roman"/>
          <w:sz w:val="28"/>
          <w:szCs w:val="28"/>
          <w:u w:val=""/>
        </w:rPr>
        <w:t xml:space="preserve">длительность прогнозного периода (не должен быть менее дисконтированного периода окупаемости проекта и срока возврата кредита); </w:t>
      </w:r>
    </w:p>
    <w:p>
      <w:pPr>
        <w:jc w:val="both"/>
        <w:ind w:left="192"/>
        <w:spacing w:before="0" w:after="0" w:line="288" w:lineRule="auto"/>
        <w:numPr>
          <w:ilvl w:val="0"/>
          <w:numId w:val="125"/>
        </w:numPr>
        <w:rPr>
          <w:sz w:val="28"/>
          <w:szCs w:val="28"/>
          <w:u w:val=""/>
        </w:rPr>
      </w:pPr>
      <w:r>
        <w:rPr>
          <w:rFonts w:ascii="Times New Roman" w:hAnsi="Times New Roman" w:eastAsia="Times New Roman" w:cs="Times New Roman"/>
          <w:sz w:val="28"/>
          <w:szCs w:val="28"/>
          <w:u w:val=""/>
        </w:rPr>
        <w:t xml:space="preserve">длительность постпрогнозного периода (если применимо) </w:t>
      </w:r>
    </w:p>
    <w:p>
      <w:pPr>
        <w:jc w:val="both"/>
        <w:ind w:left="192"/>
        <w:spacing w:before="0" w:after="0" w:line="288" w:lineRule="auto"/>
        <w:numPr>
          <w:ilvl w:val="0"/>
          <w:numId w:val="125"/>
        </w:numPr>
        <w:rPr>
          <w:sz w:val="28"/>
          <w:szCs w:val="28"/>
          <w:u w:val=""/>
        </w:rPr>
      </w:pPr>
      <w:r>
        <w:rPr>
          <w:rFonts w:ascii="Times New Roman" w:hAnsi="Times New Roman" w:eastAsia="Times New Roman" w:cs="Times New Roman"/>
          <w:sz w:val="28"/>
          <w:szCs w:val="28"/>
          <w:u w:val=""/>
        </w:rPr>
        <w:t xml:space="preserve">начальный момент прогнозного периода (должен быть не ранее трех календарных месяцев до дня представления Проектного предложения); </w:t>
      </w:r>
    </w:p>
    <w:p>
      <w:pPr>
        <w:jc w:val="both"/>
        <w:ind w:left="192"/>
        <w:spacing w:before="0" w:after="0" w:line="288" w:lineRule="auto"/>
        <w:numPr>
          <w:ilvl w:val="0"/>
          <w:numId w:val="125"/>
        </w:numPr>
        <w:rPr>
          <w:sz w:val="28"/>
          <w:szCs w:val="28"/>
          <w:u w:val=""/>
        </w:rPr>
      </w:pPr>
      <w:r>
        <w:rPr>
          <w:rFonts w:ascii="Times New Roman" w:hAnsi="Times New Roman" w:eastAsia="Times New Roman" w:cs="Times New Roman"/>
          <w:sz w:val="28"/>
          <w:szCs w:val="28"/>
          <w:u w:val=""/>
        </w:rPr>
        <w:t xml:space="preserve">шаг прогноза (минимально: для инвестиционной стадии – один квартал, в случае наличия месячной сезонности – один месяц; </w:t>
      </w:r>
      <w:r>
        <w:br/>
      </w:r>
      <w:r>
        <w:rPr>
          <w:rFonts w:ascii="Times New Roman" w:hAnsi="Times New Roman" w:eastAsia="Times New Roman" w:cs="Times New Roman"/>
          <w:sz w:val="28"/>
          <w:szCs w:val="28"/>
          <w:u w:val=""/>
        </w:rPr>
        <w:t xml:space="preserve">для операционной стадии – один год); </w:t>
      </w:r>
    </w:p>
    <w:p>
      <w:pPr>
        <w:jc w:val="both"/>
        <w:ind w:left="192"/>
        <w:spacing w:before="0" w:after="0" w:line="288" w:lineRule="auto"/>
        <w:numPr>
          <w:ilvl w:val="0"/>
          <w:numId w:val="125"/>
        </w:numPr>
        <w:rPr>
          <w:sz w:val="28"/>
          <w:szCs w:val="28"/>
          <w:u w:val=""/>
        </w:rPr>
      </w:pPr>
      <w:r>
        <w:rPr>
          <w:rFonts w:ascii="Times New Roman" w:hAnsi="Times New Roman" w:eastAsia="Times New Roman" w:cs="Times New Roman"/>
          <w:sz w:val="28"/>
          <w:szCs w:val="28"/>
          <w:u w:val=""/>
        </w:rPr>
        <w:t xml:space="preserve">тип денежных потоков (номинальные, реальные) и итоговая валюта денежных потоков; </w:t>
      </w:r>
    </w:p>
    <w:p>
      <w:pPr>
        <w:jc w:val="both"/>
        <w:ind w:left="192"/>
        <w:spacing w:before="0" w:after="0" w:line="288" w:lineRule="auto"/>
        <w:numPr>
          <w:ilvl w:val="0"/>
          <w:numId w:val="125"/>
        </w:numPr>
        <w:rPr>
          <w:sz w:val="28"/>
          <w:szCs w:val="28"/>
          <w:u w:val=""/>
        </w:rPr>
      </w:pPr>
      <w:r>
        <w:rPr>
          <w:rFonts w:ascii="Times New Roman" w:hAnsi="Times New Roman" w:eastAsia="Times New Roman" w:cs="Times New Roman"/>
          <w:sz w:val="28"/>
          <w:szCs w:val="28"/>
          <w:u w:val=""/>
        </w:rPr>
        <w:t xml:space="preserve">вид ставки дисконтирования и метод ее расчета; </w:t>
      </w:r>
    </w:p>
    <w:p>
      <w:pPr>
        <w:jc w:val="both"/>
        <w:ind w:left="192"/>
        <w:spacing w:before="0" w:after="0" w:line="288" w:lineRule="auto"/>
        <w:numPr>
          <w:ilvl w:val="0"/>
          <w:numId w:val="125"/>
        </w:numPr>
        <w:rPr>
          <w:sz w:val="28"/>
          <w:szCs w:val="28"/>
          <w:u w:val=""/>
        </w:rPr>
      </w:pPr>
      <w:r>
        <w:rPr>
          <w:rFonts w:ascii="Times New Roman" w:hAnsi="Times New Roman" w:eastAsia="Times New Roman" w:cs="Times New Roman"/>
          <w:sz w:val="28"/>
          <w:szCs w:val="28"/>
          <w:u w:val=""/>
        </w:rPr>
        <w:t xml:space="preserve">методика расчета заключительной стоимости (с указанием ожидаемого темпа роста в постпрогнозный период); </w:t>
      </w:r>
    </w:p>
    <w:p>
      <w:pPr>
        <w:jc w:val="both"/>
        <w:ind w:left="192"/>
        <w:spacing w:before="0" w:after="0" w:line="288" w:lineRule="auto"/>
        <w:numPr>
          <w:ilvl w:val="0"/>
          <w:numId w:val="125"/>
        </w:numPr>
        <w:rPr>
          <w:sz w:val="28"/>
          <w:szCs w:val="28"/>
          <w:u w:val=""/>
        </w:rPr>
      </w:pPr>
      <w:r>
        <w:rPr>
          <w:rFonts w:ascii="Times New Roman" w:hAnsi="Times New Roman" w:eastAsia="Times New Roman" w:cs="Times New Roman"/>
          <w:sz w:val="28"/>
          <w:szCs w:val="28"/>
          <w:u w:val=""/>
        </w:rPr>
        <w:t xml:space="preserve">иные ключевые методические предположения. </w:t>
      </w:r>
    </w:p>
    <w:p>
      <w:pPr>
        <w:jc w:val="both"/>
        <w:ind/>
        <w:spacing w:before="0" w:after="0" w:line="288" w:lineRule="auto"/>
      </w:pPr>
      <w:r>
        <w:rPr>
          <w:rFonts w:ascii="Times New Roman" w:hAnsi="Times New Roman" w:eastAsia="Times New Roman" w:cs="Times New Roman"/>
          <w:sz w:val="28"/>
          <w:szCs w:val="28"/>
          <w:i/>
          <w:iCs/>
          <w:u w:val="single"/>
        </w:rPr>
        <w:t xml:space="preserve">Основные предположения, связанные с рассматриваемым проектом, использованные при построении финансовых прогнозов, в том числе:</w:t>
      </w:r>
    </w:p>
    <w:p>
      <w:pPr>
        <w:jc w:val="both"/>
        <w:ind w:left="192"/>
        <w:spacing w:before="0" w:after="0" w:line="288" w:lineRule="auto"/>
        <w:numPr>
          <w:ilvl w:val="0"/>
          <w:numId w:val="126"/>
        </w:numPr>
        <w:rPr>
          <w:sz w:val="28"/>
          <w:szCs w:val="28"/>
          <w:u w:val=""/>
        </w:rPr>
      </w:pPr>
      <w:r>
        <w:rPr>
          <w:rFonts w:ascii="Times New Roman" w:hAnsi="Times New Roman" w:eastAsia="Times New Roman" w:cs="Times New Roman"/>
          <w:sz w:val="28"/>
          <w:szCs w:val="28"/>
          <w:u w:val=""/>
        </w:rPr>
        <w:t xml:space="preserve">макроэкономические данные (прогнозы инфляции, обменных курсов, роста реальной заработной платы и т.п.); </w:t>
      </w:r>
    </w:p>
    <w:p>
      <w:pPr>
        <w:jc w:val="both"/>
        <w:ind w:left="192"/>
        <w:spacing w:before="0" w:after="0" w:line="288" w:lineRule="auto"/>
        <w:numPr>
          <w:ilvl w:val="0"/>
          <w:numId w:val="126"/>
        </w:numPr>
        <w:rPr>
          <w:sz w:val="28"/>
          <w:szCs w:val="28"/>
          <w:u w:val=""/>
        </w:rPr>
      </w:pPr>
      <w:r>
        <w:rPr>
          <w:rFonts w:ascii="Times New Roman" w:hAnsi="Times New Roman" w:eastAsia="Times New Roman" w:cs="Times New Roman"/>
          <w:sz w:val="28"/>
          <w:szCs w:val="28"/>
          <w:u w:val=""/>
        </w:rPr>
        <w:t xml:space="preserve">прогноз капитальных вложений; </w:t>
      </w:r>
    </w:p>
    <w:p>
      <w:pPr>
        <w:jc w:val="both"/>
        <w:ind w:left="192"/>
        <w:spacing w:before="0" w:after="0" w:line="288" w:lineRule="auto"/>
        <w:numPr>
          <w:ilvl w:val="0"/>
          <w:numId w:val="126"/>
        </w:numPr>
        <w:rPr>
          <w:sz w:val="28"/>
          <w:szCs w:val="28"/>
          <w:u w:val=""/>
        </w:rPr>
      </w:pPr>
      <w:r>
        <w:rPr>
          <w:rFonts w:ascii="Times New Roman" w:hAnsi="Times New Roman" w:eastAsia="Times New Roman" w:cs="Times New Roman"/>
          <w:sz w:val="28"/>
          <w:szCs w:val="28"/>
          <w:u w:val=""/>
        </w:rPr>
        <w:t xml:space="preserve">прогноз объема продаж и объема производства (иных количественных факторов, определяющих выручку); </w:t>
      </w:r>
    </w:p>
    <w:p>
      <w:pPr>
        <w:jc w:val="both"/>
        <w:ind w:left="192"/>
        <w:spacing w:before="0" w:after="0" w:line="288" w:lineRule="auto"/>
        <w:numPr>
          <w:ilvl w:val="0"/>
          <w:numId w:val="126"/>
        </w:numPr>
        <w:rPr>
          <w:sz w:val="28"/>
          <w:szCs w:val="28"/>
          <w:u w:val=""/>
        </w:rPr>
      </w:pPr>
      <w:r>
        <w:rPr>
          <w:rFonts w:ascii="Times New Roman" w:hAnsi="Times New Roman" w:eastAsia="Times New Roman" w:cs="Times New Roman"/>
          <w:sz w:val="28"/>
          <w:szCs w:val="28"/>
          <w:u w:val=""/>
        </w:rPr>
        <w:t xml:space="preserve">прогноз цен/тарифов на готовую продукцию/услуги; </w:t>
      </w:r>
    </w:p>
    <w:p>
      <w:pPr>
        <w:jc w:val="both"/>
        <w:ind w:left="192"/>
        <w:spacing w:before="0" w:after="0" w:line="288" w:lineRule="auto"/>
        <w:numPr>
          <w:ilvl w:val="0"/>
          <w:numId w:val="126"/>
        </w:numPr>
        <w:rPr>
          <w:sz w:val="28"/>
          <w:szCs w:val="28"/>
          <w:u w:val=""/>
        </w:rPr>
      </w:pPr>
      <w:r>
        <w:rPr>
          <w:rFonts w:ascii="Times New Roman" w:hAnsi="Times New Roman" w:eastAsia="Times New Roman" w:cs="Times New Roman"/>
          <w:sz w:val="28"/>
          <w:szCs w:val="28"/>
          <w:u w:val=""/>
        </w:rPr>
        <w:t xml:space="preserve">нормы расхода ресурсов на единицу выпуска; </w:t>
      </w:r>
    </w:p>
    <w:p>
      <w:pPr>
        <w:jc w:val="both"/>
        <w:ind w:left="192"/>
        <w:spacing w:before="0" w:after="0" w:line="288" w:lineRule="auto"/>
        <w:numPr>
          <w:ilvl w:val="0"/>
          <w:numId w:val="126"/>
        </w:numPr>
        <w:rPr>
          <w:sz w:val="28"/>
          <w:szCs w:val="28"/>
          <w:u w:val=""/>
        </w:rPr>
      </w:pPr>
      <w:r>
        <w:rPr>
          <w:rFonts w:ascii="Times New Roman" w:hAnsi="Times New Roman" w:eastAsia="Times New Roman" w:cs="Times New Roman"/>
          <w:sz w:val="28"/>
          <w:szCs w:val="28"/>
          <w:u w:val=""/>
        </w:rPr>
        <w:t xml:space="preserve">прогноз цен на основное сырье и материалы и других затрат, составляющих значительную долю в себестоимости, прогноз иных переменных затрат; </w:t>
      </w:r>
    </w:p>
    <w:p>
      <w:pPr>
        <w:jc w:val="both"/>
        <w:ind w:left="192"/>
        <w:spacing w:before="0" w:after="0" w:line="288" w:lineRule="auto"/>
        <w:numPr>
          <w:ilvl w:val="0"/>
          <w:numId w:val="126"/>
        </w:numPr>
        <w:rPr>
          <w:sz w:val="28"/>
          <w:szCs w:val="28"/>
          <w:u w:val=""/>
        </w:rPr>
      </w:pPr>
      <w:r>
        <w:rPr>
          <w:rFonts w:ascii="Times New Roman" w:hAnsi="Times New Roman" w:eastAsia="Times New Roman" w:cs="Times New Roman"/>
          <w:sz w:val="28"/>
          <w:szCs w:val="28"/>
          <w:u w:val=""/>
        </w:rPr>
        <w:t xml:space="preserve">прогноз затрат на персонал (штатное расписание или бюджет затрат </w:t>
      </w:r>
      <w:r>
        <w:br/>
      </w:r>
      <w:r>
        <w:rPr>
          <w:rFonts w:ascii="Times New Roman" w:hAnsi="Times New Roman" w:eastAsia="Times New Roman" w:cs="Times New Roman"/>
          <w:sz w:val="28"/>
          <w:szCs w:val="28"/>
          <w:u w:val=""/>
        </w:rPr>
        <w:t xml:space="preserve">на персонал с учетом планируемых индексаций оплаты труда и увеличения штата); </w:t>
      </w:r>
    </w:p>
    <w:p>
      <w:pPr>
        <w:jc w:val="both"/>
        <w:ind w:left="192"/>
        <w:spacing w:before="0" w:after="0" w:line="288" w:lineRule="auto"/>
        <w:numPr>
          <w:ilvl w:val="0"/>
          <w:numId w:val="126"/>
        </w:numPr>
        <w:rPr>
          <w:sz w:val="28"/>
          <w:szCs w:val="28"/>
          <w:u w:val=""/>
        </w:rPr>
      </w:pPr>
      <w:r>
        <w:rPr>
          <w:rFonts w:ascii="Times New Roman" w:hAnsi="Times New Roman" w:eastAsia="Times New Roman" w:cs="Times New Roman"/>
          <w:sz w:val="28"/>
          <w:szCs w:val="28"/>
          <w:u w:val=""/>
        </w:rPr>
        <w:t xml:space="preserve">прогноз условно постоянных затрат; </w:t>
      </w:r>
    </w:p>
    <w:p>
      <w:pPr>
        <w:jc w:val="both"/>
        <w:ind w:left="192"/>
        <w:spacing w:before="0" w:after="0" w:line="288" w:lineRule="auto"/>
        <w:numPr>
          <w:ilvl w:val="0"/>
          <w:numId w:val="126"/>
        </w:numPr>
        <w:rPr>
          <w:sz w:val="28"/>
          <w:szCs w:val="28"/>
          <w:u w:val=""/>
        </w:rPr>
      </w:pPr>
      <w:r>
        <w:rPr>
          <w:rFonts w:ascii="Times New Roman" w:hAnsi="Times New Roman" w:eastAsia="Times New Roman" w:cs="Times New Roman"/>
          <w:sz w:val="28"/>
          <w:szCs w:val="28"/>
          <w:u w:val=""/>
        </w:rPr>
        <w:t xml:space="preserve">условия расчетов с контрагентами (отсрочки и предоплаты по расчетам с поставщиками и подрядчиками, покупателями, бюджетом, персоналом) </w:t>
      </w:r>
      <w:r>
        <w:br/>
      </w:r>
      <w:r>
        <w:rPr>
          <w:rFonts w:ascii="Times New Roman" w:hAnsi="Times New Roman" w:eastAsia="Times New Roman" w:cs="Times New Roman"/>
          <w:sz w:val="28"/>
          <w:szCs w:val="28"/>
          <w:u w:val=""/>
        </w:rPr>
        <w:t xml:space="preserve">и / или нормативы оборачиваемости; </w:t>
      </w:r>
    </w:p>
    <w:p>
      <w:pPr>
        <w:jc w:val="both"/>
        <w:ind w:left="192"/>
        <w:spacing w:before="0" w:after="0" w:line="288" w:lineRule="auto"/>
        <w:numPr>
          <w:ilvl w:val="0"/>
          <w:numId w:val="126"/>
        </w:numPr>
        <w:rPr>
          <w:sz w:val="28"/>
          <w:szCs w:val="28"/>
          <w:u w:val=""/>
        </w:rPr>
      </w:pPr>
      <w:r>
        <w:rPr>
          <w:rFonts w:ascii="Times New Roman" w:hAnsi="Times New Roman" w:eastAsia="Times New Roman" w:cs="Times New Roman"/>
          <w:sz w:val="28"/>
          <w:szCs w:val="28"/>
          <w:u w:val=""/>
        </w:rPr>
        <w:t xml:space="preserve">налоговые предпосылки: информация о налогах и иных обязательных платежах (пошлинах, взносах по обязательному страхованию и т.п.), которые подлежат уплате в соответствии с действующим законодательством страны, </w:t>
      </w:r>
      <w:r>
        <w:br/>
      </w:r>
      <w:r>
        <w:rPr>
          <w:rFonts w:ascii="Times New Roman" w:hAnsi="Times New Roman" w:eastAsia="Times New Roman" w:cs="Times New Roman"/>
          <w:sz w:val="28"/>
          <w:szCs w:val="28"/>
          <w:u w:val=""/>
        </w:rPr>
        <w:t xml:space="preserve">на территории которой будет реализован проект (налог, база, ставка, порядок уплаты), с учетом ожидаемых изменений в налоговом законодательстве; </w:t>
      </w:r>
    </w:p>
    <w:p>
      <w:pPr>
        <w:jc w:val="both"/>
        <w:ind w:left="192"/>
        <w:spacing w:before="0" w:after="0" w:line="288" w:lineRule="auto"/>
        <w:numPr>
          <w:ilvl w:val="0"/>
          <w:numId w:val="126"/>
        </w:numPr>
        <w:rPr>
          <w:sz w:val="28"/>
          <w:szCs w:val="28"/>
          <w:u w:val=""/>
        </w:rPr>
      </w:pPr>
      <w:r>
        <w:rPr>
          <w:rFonts w:ascii="Times New Roman" w:hAnsi="Times New Roman" w:eastAsia="Times New Roman" w:cs="Times New Roman"/>
          <w:sz w:val="28"/>
          <w:szCs w:val="28"/>
          <w:u w:val=""/>
        </w:rPr>
        <w:t xml:space="preserve">предпосылки по учетной политике (политика по амортизации, капитализации затрат, созданию резервов, признанию выручки); </w:t>
      </w:r>
    </w:p>
    <w:p>
      <w:pPr>
        <w:jc w:val="both"/>
        <w:ind w:left="192"/>
        <w:spacing w:before="0" w:after="0" w:line="288" w:lineRule="auto"/>
        <w:numPr>
          <w:ilvl w:val="0"/>
          <w:numId w:val="126"/>
        </w:numPr>
        <w:rPr>
          <w:sz w:val="28"/>
          <w:szCs w:val="28"/>
          <w:u w:val=""/>
        </w:rPr>
      </w:pPr>
      <w:r>
        <w:rPr>
          <w:rFonts w:ascii="Times New Roman" w:hAnsi="Times New Roman" w:eastAsia="Times New Roman" w:cs="Times New Roman"/>
          <w:sz w:val="28"/>
          <w:szCs w:val="28"/>
          <w:u w:val=""/>
        </w:rPr>
        <w:t xml:space="preserve">прогнозная структура финансирования, условия по заемному финансированию (процентные ставки, график получения и обслуживания долга); </w:t>
      </w:r>
    </w:p>
    <w:p>
      <w:pPr>
        <w:jc w:val="both"/>
        <w:ind w:left="192"/>
        <w:spacing w:before="0" w:after="0" w:line="288" w:lineRule="auto"/>
        <w:numPr>
          <w:ilvl w:val="0"/>
          <w:numId w:val="126"/>
        </w:numPr>
        <w:rPr>
          <w:sz w:val="28"/>
          <w:szCs w:val="28"/>
          <w:u w:val=""/>
        </w:rPr>
      </w:pPr>
      <w:r>
        <w:rPr>
          <w:rFonts w:ascii="Times New Roman" w:hAnsi="Times New Roman" w:eastAsia="Times New Roman" w:cs="Times New Roman"/>
          <w:sz w:val="28"/>
          <w:szCs w:val="28"/>
          <w:u w:val=""/>
        </w:rPr>
        <w:t xml:space="preserve">данные фондового рынка для расчета ставки дисконтирования; </w:t>
      </w:r>
    </w:p>
    <w:p>
      <w:pPr>
        <w:jc w:val="both"/>
        <w:ind w:left="192"/>
        <w:spacing w:before="0" w:after="0" w:line="288" w:lineRule="auto"/>
        <w:numPr>
          <w:ilvl w:val="0"/>
          <w:numId w:val="126"/>
        </w:numPr>
        <w:rPr>
          <w:sz w:val="28"/>
          <w:szCs w:val="28"/>
          <w:u w:val=""/>
        </w:rPr>
      </w:pPr>
      <w:r>
        <w:rPr>
          <w:rFonts w:ascii="Times New Roman" w:hAnsi="Times New Roman" w:eastAsia="Times New Roman" w:cs="Times New Roman"/>
          <w:sz w:val="28"/>
          <w:szCs w:val="28"/>
          <w:u w:val=""/>
        </w:rPr>
        <w:t xml:space="preserve">иные исходные данные и предпосылки, важные для данной отрасли </w:t>
      </w:r>
      <w:r>
        <w:br/>
      </w:r>
      <w:r>
        <w:rPr>
          <w:rFonts w:ascii="Times New Roman" w:hAnsi="Times New Roman" w:eastAsia="Times New Roman" w:cs="Times New Roman"/>
          <w:sz w:val="28"/>
          <w:szCs w:val="28"/>
          <w:u w:val=""/>
        </w:rPr>
        <w:t xml:space="preserve">и типа проекта. </w:t>
      </w:r>
    </w:p>
    <w:p>
      <w:pPr>
        <w:jc w:val="left"/>
        <w:ind/>
        <w:spacing w:before="0" w:after="0" w:line="432" w:lineRule="auto"/>
      </w:pPr>
      <w:r>
        <w:rPr>
          <w:sz w:val="28"/>
          <w:szCs w:val="28"/>
          <w:u w:val=""/>
        </w:rPr>
        <w:t xml:space="preserve"> </w:t>
      </w:r>
    </w:p>
    <w:p>
      <w:pPr>
        <w:jc w:val="center"/>
        <w:ind w:left="192"/>
        <w:spacing w:before="0" w:after="0" w:line="288" w:lineRule="auto"/>
        <w:numPr>
          <w:ilvl w:val="0"/>
          <w:numId w:val="127"/>
        </w:numPr>
        <w:rPr>
          <w:sz w:val="28"/>
          <w:szCs w:val="28"/>
          <w:u w:val=""/>
        </w:rPr>
      </w:pPr>
      <w:r>
        <w:rPr>
          <w:rFonts w:ascii="Times New Roman" w:hAnsi="Times New Roman" w:eastAsia="Times New Roman" w:cs="Times New Roman"/>
          <w:sz w:val="28"/>
          <w:szCs w:val="28"/>
          <w:b/>
          <w:u w:val=""/>
        </w:rPr>
        <w:t xml:space="preserve">Требования к составу результатов финансовых прогнозов, формы прогнозной финансовой отчетности</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u w:val=""/>
        </w:rPr>
        <w:t xml:space="preserve">Прогнозная финансовая отчетность составляется для Получателя средств и носит характер управленческой отчетности, в частности: </w:t>
      </w:r>
    </w:p>
    <w:p>
      <w:pPr>
        <w:jc w:val="both"/>
        <w:ind w:left="192"/>
        <w:spacing w:before="0" w:after="0" w:line="288" w:lineRule="auto"/>
        <w:numPr>
          <w:ilvl w:val="0"/>
          <w:numId w:val="128"/>
        </w:numPr>
        <w:rPr>
          <w:sz w:val="28"/>
          <w:szCs w:val="28"/>
          <w:u w:val=""/>
        </w:rPr>
      </w:pPr>
      <w:r>
        <w:rPr>
          <w:rFonts w:ascii="Times New Roman" w:hAnsi="Times New Roman" w:eastAsia="Times New Roman" w:cs="Times New Roman"/>
          <w:sz w:val="28"/>
          <w:szCs w:val="28"/>
          <w:u w:val=""/>
        </w:rPr>
        <w:t xml:space="preserve">некоторые статьи, величина которых является относительно незначительной в масштабах проекта, могут быть объединены; </w:t>
      </w:r>
    </w:p>
    <w:p>
      <w:pPr>
        <w:jc w:val="both"/>
        <w:ind w:left="192"/>
        <w:spacing w:before="0" w:after="0" w:line="288" w:lineRule="auto"/>
        <w:numPr>
          <w:ilvl w:val="0"/>
          <w:numId w:val="128"/>
        </w:numPr>
        <w:rPr>
          <w:sz w:val="28"/>
          <w:szCs w:val="28"/>
          <w:u w:val=""/>
        </w:rPr>
      </w:pPr>
      <w:r>
        <w:rPr>
          <w:rFonts w:ascii="Times New Roman" w:hAnsi="Times New Roman" w:eastAsia="Times New Roman" w:cs="Times New Roman"/>
          <w:sz w:val="28"/>
          <w:szCs w:val="28"/>
          <w:u w:val=""/>
        </w:rPr>
        <w:t xml:space="preserve">амортизация должна быть выделена отдельной строкой и не должна вычитаться из выручки при расчете валовой прибыли. </w:t>
      </w:r>
    </w:p>
    <w:p>
      <w:pPr>
        <w:jc w:val="both"/>
        <w:ind/>
        <w:spacing w:before="0" w:after="0" w:line="288" w:lineRule="auto"/>
      </w:pPr>
      <w:r>
        <w:rPr>
          <w:rFonts w:ascii="Times New Roman" w:hAnsi="Times New Roman" w:eastAsia="Times New Roman" w:cs="Times New Roman"/>
          <w:sz w:val="28"/>
          <w:szCs w:val="28"/>
          <w:u w:val=""/>
        </w:rPr>
        <w:t xml:space="preserve">При необходимости должны быть представлены следующие формы прогнозной финансовой отчетности: прогнозный отчет о движении денежных средств, прогнозный отчет о прибылях и убытках, прогнозный баланс. </w:t>
      </w:r>
    </w:p>
    <w:p>
      <w:pPr>
        <w:jc w:val="both"/>
        <w:ind/>
        <w:spacing w:before="0" w:after="0" w:line="288" w:lineRule="auto"/>
      </w:pPr>
      <w:r>
        <w:rPr>
          <w:rFonts w:ascii="Times New Roman" w:hAnsi="Times New Roman" w:eastAsia="Times New Roman" w:cs="Times New Roman"/>
          <w:sz w:val="28"/>
          <w:szCs w:val="28"/>
          <w:u w:val=""/>
        </w:rPr>
        <w:t xml:space="preserve">Прогнозный отчет о прибылях и убытках должен содержать, в том числе, следующие финансовые показатели: выручка, валовая прибыль, валовая рентабельность, EBITDA (операционная прибыль до вычета амортизации, процентов и налогов), EBIT (операционная прибыль до вычета процентов </w:t>
      </w:r>
      <w:r>
        <w:br/>
      </w:r>
      <w:r>
        <w:rPr>
          <w:rFonts w:ascii="Times New Roman" w:hAnsi="Times New Roman" w:eastAsia="Times New Roman" w:cs="Times New Roman"/>
          <w:sz w:val="28"/>
          <w:szCs w:val="28"/>
          <w:u w:val=""/>
        </w:rPr>
        <w:t xml:space="preserve">и налогов), чистая прибыль, чистая рентабельность. Если в силу отраслевых или иных особенностей проекта данные показатели не представлены, следует указать факт и причины их отсутствия в описании к финансовой модели.</w:t>
      </w:r>
    </w:p>
    <w:p>
      <w:pPr>
        <w:jc w:val="both"/>
        <w:ind/>
        <w:spacing w:before="0" w:after="0" w:line="288" w:lineRule="auto"/>
      </w:pPr>
      <w:r>
        <w:rPr>
          <w:rFonts w:ascii="Times New Roman" w:hAnsi="Times New Roman" w:eastAsia="Times New Roman" w:cs="Times New Roman"/>
          <w:sz w:val="28"/>
          <w:szCs w:val="28"/>
          <w:u w:val=""/>
        </w:rPr>
        <w:t xml:space="preserve">Прогнозный отчет о движении денежных средств должен включать денежные потоки от операционной, инвестиционной и финансовой деятельности. Денежные потоки, связанные с выплатой и получением процентов и дивидендов, должны быть раскрыты в отдельных строках; </w:t>
      </w:r>
    </w:p>
    <w:p>
      <w:pPr>
        <w:jc w:val="both"/>
        <w:ind/>
        <w:spacing w:before="0" w:after="0" w:line="288" w:lineRule="auto"/>
      </w:pPr>
      <w:r>
        <w:rPr>
          <w:rFonts w:ascii="Times New Roman" w:hAnsi="Times New Roman" w:eastAsia="Times New Roman" w:cs="Times New Roman"/>
          <w:sz w:val="28"/>
          <w:szCs w:val="28"/>
          <w:u w:val=""/>
        </w:rPr>
        <w:t xml:space="preserve">В случае предполагаемого долгового финансирования, справочно должны быть приведены свободные денежные потоки до обслуживания долга (CFADS). </w:t>
      </w:r>
    </w:p>
    <w:p>
      <w:pPr>
        <w:jc w:val="both"/>
        <w:ind/>
        <w:spacing w:before="0" w:after="0" w:line="288" w:lineRule="auto"/>
      </w:pPr>
      <w:r>
        <w:rPr>
          <w:rFonts w:ascii="Times New Roman" w:hAnsi="Times New Roman" w:eastAsia="Times New Roman" w:cs="Times New Roman"/>
          <w:sz w:val="28"/>
          <w:szCs w:val="28"/>
          <w:u w:val=""/>
        </w:rPr>
        <w:t xml:space="preserve">Также могут быть предоставлены иные отчеты. </w:t>
      </w:r>
    </w:p>
    <w:p>
      <w:pPr>
        <w:jc w:val="both"/>
        <w:ind/>
        <w:spacing w:before="0" w:after="0" w:line="288" w:lineRule="auto"/>
      </w:pPr>
      <w:r>
        <w:rPr>
          <w:rFonts w:ascii="Times New Roman" w:hAnsi="Times New Roman" w:eastAsia="Times New Roman" w:cs="Times New Roman"/>
          <w:sz w:val="28"/>
          <w:szCs w:val="28"/>
          <w:b/>
          <w:u w:val=""/>
        </w:rPr>
        <w:t xml:space="preserve">Финансовые показатели (коэффициенты) </w:t>
      </w:r>
    </w:p>
    <w:p>
      <w:pPr>
        <w:jc w:val="both"/>
        <w:ind/>
        <w:spacing w:before="0" w:after="0" w:line="288" w:lineRule="auto"/>
      </w:pPr>
      <w:r>
        <w:rPr>
          <w:rFonts w:ascii="Times New Roman" w:hAnsi="Times New Roman" w:eastAsia="Times New Roman" w:cs="Times New Roman"/>
          <w:sz w:val="28"/>
          <w:szCs w:val="28"/>
          <w:u w:val=""/>
        </w:rPr>
        <w:t xml:space="preserve">Формулы расчета всех финансовых показателей (коэффициентов), которые рассчитываются в финансовой модели, должны быть приведены </w:t>
      </w:r>
      <w:r>
        <w:br/>
      </w:r>
      <w:r>
        <w:rPr>
          <w:rFonts w:ascii="Times New Roman" w:hAnsi="Times New Roman" w:eastAsia="Times New Roman" w:cs="Times New Roman"/>
          <w:sz w:val="28"/>
          <w:szCs w:val="28"/>
          <w:u w:val=""/>
        </w:rPr>
        <w:t xml:space="preserve">в описании к финансовой модели и / или в бизнес-плане. Факт и причина отступления от данного требования должны быть оговорены в описании </w:t>
      </w:r>
      <w:r>
        <w:br/>
      </w:r>
      <w:r>
        <w:rPr>
          <w:rFonts w:ascii="Times New Roman" w:hAnsi="Times New Roman" w:eastAsia="Times New Roman" w:cs="Times New Roman"/>
          <w:sz w:val="28"/>
          <w:szCs w:val="28"/>
          <w:u w:val=""/>
        </w:rPr>
        <w:t xml:space="preserve">к финансовой модели. </w:t>
      </w:r>
    </w:p>
    <w:p>
      <w:pPr>
        <w:jc w:val="both"/>
        <w:ind/>
        <w:spacing w:before="0" w:after="0" w:line="288" w:lineRule="auto"/>
      </w:pPr>
      <w:r>
        <w:rPr>
          <w:rFonts w:ascii="Times New Roman" w:hAnsi="Times New Roman" w:eastAsia="Times New Roman" w:cs="Times New Roman"/>
          <w:sz w:val="28"/>
          <w:szCs w:val="28"/>
          <w:u w:val=""/>
        </w:rPr>
        <w:t xml:space="preserve">А. Показатели инвестиционной привлекательности </w:t>
      </w:r>
    </w:p>
    <w:p>
      <w:pPr>
        <w:jc w:val="both"/>
        <w:ind/>
        <w:spacing w:before="0" w:after="0" w:line="288" w:lineRule="auto"/>
      </w:pPr>
      <w:r>
        <w:rPr>
          <w:rFonts w:ascii="Times New Roman" w:hAnsi="Times New Roman" w:eastAsia="Times New Roman" w:cs="Times New Roman"/>
          <w:sz w:val="28"/>
          <w:szCs w:val="28"/>
          <w:u w:val=""/>
        </w:rPr>
        <w:t xml:space="preserve">Финансовые показатели (коэффициенты), указанные ниже, должны быть приведены в финансовой модели при необходимости:</w:t>
      </w:r>
    </w:p>
    <w:p>
      <w:pPr>
        <w:jc w:val="both"/>
        <w:ind w:left="192"/>
        <w:spacing w:before="0" w:after="0" w:line="288" w:lineRule="auto"/>
        <w:numPr>
          <w:ilvl w:val="0"/>
          <w:numId w:val="129"/>
        </w:numPr>
        <w:rPr>
          <w:sz w:val="28"/>
          <w:szCs w:val="28"/>
          <w:u w:val=""/>
        </w:rPr>
      </w:pPr>
      <w:r>
        <w:rPr>
          <w:rFonts w:ascii="Times New Roman" w:hAnsi="Times New Roman" w:eastAsia="Times New Roman" w:cs="Times New Roman"/>
          <w:sz w:val="28"/>
          <w:szCs w:val="28"/>
          <w:u w:val=""/>
        </w:rPr>
        <w:t xml:space="preserve">показатели инвестиционной привлекательности по проекту в целом –  чистая приведенная стоимость проекта (NPV), внутренняя норма доходности (IRR), период окупаемости проекта (PBP), дисконтированный период окупаемости проекта (DPBP); </w:t>
      </w:r>
    </w:p>
    <w:p>
      <w:pPr>
        <w:jc w:val="both"/>
        <w:ind w:left="192"/>
        <w:spacing w:before="0" w:after="0" w:line="288" w:lineRule="auto"/>
        <w:numPr>
          <w:ilvl w:val="0"/>
          <w:numId w:val="129"/>
        </w:numPr>
        <w:rPr>
          <w:sz w:val="28"/>
          <w:szCs w:val="28"/>
          <w:u w:val=""/>
        </w:rPr>
      </w:pPr>
      <w:r>
        <w:rPr>
          <w:rFonts w:ascii="Times New Roman" w:hAnsi="Times New Roman" w:eastAsia="Times New Roman" w:cs="Times New Roman"/>
          <w:sz w:val="28"/>
          <w:szCs w:val="28"/>
          <w:u w:val=""/>
        </w:rPr>
        <w:t xml:space="preserve">показатели инвестиционной привлекательности для отдельных Участников проекта: для собственников (указывается в случае, если рассматривается возможность предоставления Банком долевого финансирования по проекту) – внутренняя норма доходности </w:t>
      </w:r>
      <w:r>
        <w:br/>
      </w:r>
      <w:r>
        <w:rPr>
          <w:rFonts w:ascii="Times New Roman" w:hAnsi="Times New Roman" w:eastAsia="Times New Roman" w:cs="Times New Roman"/>
          <w:sz w:val="28"/>
          <w:szCs w:val="28"/>
          <w:u w:val=""/>
        </w:rPr>
        <w:t xml:space="preserve">ля собственников (IRR on equity); для иных Участников проекта (указывается по усмотрению Инициатора проекта).</w:t>
      </w:r>
    </w:p>
    <w:p>
      <w:pPr>
        <w:jc w:val="both"/>
        <w:ind/>
        <w:spacing w:before="0" w:after="0" w:line="288" w:lineRule="auto"/>
      </w:pPr>
      <w:r>
        <w:rPr>
          <w:rFonts w:ascii="Times New Roman" w:hAnsi="Times New Roman" w:eastAsia="Times New Roman" w:cs="Times New Roman"/>
          <w:sz w:val="28"/>
          <w:szCs w:val="28"/>
          <w:u w:val=""/>
        </w:rPr>
        <w:t xml:space="preserve">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 </w:t>
      </w:r>
    </w:p>
    <w:p>
      <w:pPr>
        <w:jc w:val="both"/>
        <w:ind/>
        <w:spacing w:before="0" w:after="0" w:line="288" w:lineRule="auto"/>
      </w:pPr>
      <w:r>
        <w:rPr>
          <w:rFonts w:ascii="Times New Roman" w:hAnsi="Times New Roman" w:eastAsia="Times New Roman" w:cs="Times New Roman"/>
          <w:sz w:val="28"/>
          <w:szCs w:val="28"/>
          <w:u w:val=""/>
        </w:rPr>
        <w:t xml:space="preserve">Б. Показатели финансовой устойчивости </w:t>
      </w:r>
    </w:p>
    <w:p>
      <w:pPr>
        <w:jc w:val="both"/>
        <w:ind/>
        <w:spacing w:before="0" w:after="0" w:line="288" w:lineRule="auto"/>
      </w:pPr>
      <w:r>
        <w:rPr>
          <w:rFonts w:ascii="Times New Roman" w:hAnsi="Times New Roman" w:eastAsia="Times New Roman" w:cs="Times New Roman"/>
          <w:sz w:val="28"/>
          <w:szCs w:val="28"/>
          <w:u w:val=""/>
        </w:rPr>
        <w:t xml:space="preserve">Финансовые показатели (коэффициенты), указанные ниже, рассчитываются для Получателя средств (на основе прогнозной финансовой отчетности) и указываются в случае, если рассматривается возможность предоставления Банком долгового финансирования по проекту:</w:t>
      </w:r>
    </w:p>
    <w:p>
      <w:pPr>
        <w:jc w:val="both"/>
        <w:ind w:left="192"/>
        <w:spacing w:before="0" w:after="0" w:line="288" w:lineRule="auto"/>
        <w:numPr>
          <w:ilvl w:val="0"/>
          <w:numId w:val="130"/>
        </w:numPr>
        <w:rPr>
          <w:sz w:val="28"/>
          <w:szCs w:val="28"/>
          <w:u w:val=""/>
        </w:rPr>
      </w:pPr>
      <w:r>
        <w:rPr>
          <w:rFonts w:ascii="Times New Roman" w:hAnsi="Times New Roman" w:eastAsia="Times New Roman" w:cs="Times New Roman"/>
          <w:sz w:val="28"/>
          <w:szCs w:val="28"/>
          <w:u w:val=""/>
        </w:rPr>
        <w:t xml:space="preserve">показатели обслуживания (покрытия) долга: коэффициент покрытия процентных выплат (Interest coverage ratio, EBIT/проценты), коэффициент покрытия выплат по обслуживанию долга операционными денежными потоками (Debt Service Coverage Ratio, DSCR), коэффициент покрытия долга денежными потоками, доступными для обслуживания долга, в период </w:t>
      </w:r>
      <w:r>
        <w:br/>
      </w:r>
      <w:r>
        <w:rPr>
          <w:rFonts w:ascii="Times New Roman" w:hAnsi="Times New Roman" w:eastAsia="Times New Roman" w:cs="Times New Roman"/>
          <w:sz w:val="28"/>
          <w:szCs w:val="28"/>
          <w:u w:val=""/>
        </w:rPr>
        <w:t xml:space="preserve">до погашения долга (Loan Life Coverage Ratio, LLCR); </w:t>
      </w:r>
    </w:p>
    <w:p>
      <w:pPr>
        <w:jc w:val="both"/>
        <w:ind w:left="192"/>
        <w:spacing w:before="0" w:after="0" w:line="288" w:lineRule="auto"/>
        <w:numPr>
          <w:ilvl w:val="0"/>
          <w:numId w:val="130"/>
        </w:numPr>
        <w:rPr>
          <w:sz w:val="28"/>
          <w:szCs w:val="28"/>
          <w:u w:val=""/>
        </w:rPr>
      </w:pPr>
      <w:r>
        <w:rPr>
          <w:rFonts w:ascii="Times New Roman" w:hAnsi="Times New Roman" w:eastAsia="Times New Roman" w:cs="Times New Roman"/>
          <w:sz w:val="28"/>
          <w:szCs w:val="28"/>
          <w:u w:val=""/>
        </w:rPr>
        <w:t xml:space="preserve">показатели долговой нагрузки: Долг/Собственный капитал;</w:t>
      </w:r>
    </w:p>
    <w:p>
      <w:pPr>
        <w:jc w:val="both"/>
        <w:ind w:left="192"/>
        <w:spacing w:before="0" w:after="0" w:line="288" w:lineRule="auto"/>
        <w:numPr>
          <w:ilvl w:val="0"/>
          <w:numId w:val="130"/>
        </w:numPr>
        <w:rPr>
          <w:sz w:val="28"/>
          <w:szCs w:val="28"/>
          <w:u w:val=""/>
        </w:rPr>
      </w:pPr>
      <w:r>
        <w:rPr>
          <w:rFonts w:ascii="Times New Roman" w:hAnsi="Times New Roman" w:eastAsia="Times New Roman" w:cs="Times New Roman"/>
          <w:sz w:val="28"/>
          <w:szCs w:val="28"/>
          <w:u w:val=""/>
        </w:rPr>
        <w:t xml:space="preserve">долг/EBITDA, Долг/CFADS.</w:t>
      </w:r>
    </w:p>
    <w:p>
      <w:pPr>
        <w:jc w:val="both"/>
        <w:ind/>
        <w:spacing w:before="0" w:after="0" w:line="288" w:lineRule="auto"/>
      </w:pPr>
      <w:r>
        <w:rPr>
          <w:rFonts w:ascii="Times New Roman" w:hAnsi="Times New Roman" w:eastAsia="Times New Roman" w:cs="Times New Roman"/>
          <w:sz w:val="28"/>
          <w:szCs w:val="28"/>
          <w:u w:val=""/>
        </w:rPr>
        <w:t xml:space="preserve">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 В частности, к показателям покрытия долга также могут быть отнесены: PLCR (Project Life Coverage Ratio), RLCR (Reserve Life Coverage Ratio). </w:t>
      </w:r>
    </w:p>
    <w:p>
      <w:pPr>
        <w:jc w:val="both"/>
        <w:ind/>
        <w:spacing w:before="0" w:after="0" w:line="288" w:lineRule="auto"/>
      </w:pPr>
      <w:r>
        <w:rPr>
          <w:rFonts w:ascii="Times New Roman" w:hAnsi="Times New Roman" w:eastAsia="Times New Roman" w:cs="Times New Roman"/>
          <w:sz w:val="28"/>
          <w:szCs w:val="28"/>
          <w:u w:val=""/>
        </w:rPr>
        <w:t xml:space="preserve">В. Показатели ликвидности (платежеспособности) </w:t>
      </w:r>
    </w:p>
    <w:p>
      <w:pPr>
        <w:jc w:val="both"/>
        <w:ind/>
        <w:spacing w:before="0" w:after="0" w:line="288" w:lineRule="auto"/>
      </w:pPr>
      <w:r>
        <w:rPr>
          <w:rFonts w:ascii="Times New Roman" w:hAnsi="Times New Roman" w:eastAsia="Times New Roman" w:cs="Times New Roman"/>
          <w:sz w:val="28"/>
          <w:szCs w:val="28"/>
          <w:u w:val=""/>
        </w:rPr>
        <w:t xml:space="preserve">Финансовый показатель (коэффициент), указанный ниже, должен быть приведен при необходимости (рассчитывается для получателя средств </w:t>
      </w:r>
      <w:r>
        <w:br/>
      </w:r>
      <w:r>
        <w:rPr>
          <w:rFonts w:ascii="Times New Roman" w:hAnsi="Times New Roman" w:eastAsia="Times New Roman" w:cs="Times New Roman"/>
          <w:sz w:val="28"/>
          <w:szCs w:val="28"/>
          <w:u w:val=""/>
        </w:rPr>
        <w:t xml:space="preserve">на основе прогнозной финансовой отчетности): </w:t>
      </w:r>
    </w:p>
    <w:p>
      <w:pPr>
        <w:jc w:val="both"/>
        <w:ind w:left="192"/>
        <w:spacing w:before="0" w:after="0" w:line="288" w:lineRule="auto"/>
        <w:numPr>
          <w:ilvl w:val="0"/>
          <w:numId w:val="131"/>
        </w:numPr>
        <w:rPr>
          <w:sz w:val="28"/>
          <w:szCs w:val="28"/>
          <w:u w:val=""/>
        </w:rPr>
      </w:pPr>
      <w:r>
        <w:rPr>
          <w:rFonts w:ascii="Times New Roman" w:hAnsi="Times New Roman" w:eastAsia="Times New Roman" w:cs="Times New Roman"/>
          <w:sz w:val="28"/>
          <w:szCs w:val="28"/>
          <w:u w:val=""/>
        </w:rPr>
        <w:t xml:space="preserve">показатель текущей ликвидности (current ratio), быстрой ликвидности (quick ratio). </w:t>
      </w:r>
    </w:p>
    <w:p>
      <w:pPr>
        <w:jc w:val="both"/>
        <w:ind/>
        <w:spacing w:before="0" w:after="0" w:line="288" w:lineRule="auto"/>
      </w:pPr>
      <w:r>
        <w:rPr>
          <w:rFonts w:ascii="Times New Roman" w:hAnsi="Times New Roman" w:eastAsia="Times New Roman" w:cs="Times New Roman"/>
          <w:sz w:val="28"/>
          <w:szCs w:val="28"/>
          <w:u w:val=""/>
        </w:rPr>
        <w:t xml:space="preserve">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w:t>
      </w:r>
    </w:p>
    <w:p>
      <w:pPr>
        <w:jc w:val="both"/>
        <w:ind/>
        <w:spacing w:before="0" w:after="0" w:line="288" w:lineRule="auto"/>
      </w:pPr>
      <w:r>
        <w:rPr>
          <w:rFonts w:ascii="Times New Roman" w:hAnsi="Times New Roman" w:eastAsia="Times New Roman" w:cs="Times New Roman"/>
          <w:sz w:val="28"/>
          <w:szCs w:val="28"/>
          <w:u w:val=""/>
        </w:rPr>
        <w:t xml:space="preserve">Г. Иные финансовые показатели (коэффициенты). </w:t>
      </w:r>
    </w:p>
    <w:p>
      <w:pPr>
        <w:jc w:val="both"/>
        <w:ind/>
        <w:spacing w:before="0" w:after="0" w:line="288" w:lineRule="auto"/>
      </w:pPr>
      <w:r>
        <w:rPr>
          <w:rFonts w:ascii="Times New Roman" w:hAnsi="Times New Roman" w:eastAsia="Times New Roman" w:cs="Times New Roman"/>
          <w:sz w:val="28"/>
          <w:szCs w:val="28"/>
          <w:u w:val=""/>
        </w:rPr>
        <w:t xml:space="preserve">Финансовые показатели (коэффициенты), указанные ниже, приводятся </w:t>
      </w:r>
      <w:r>
        <w:br/>
      </w:r>
      <w:r>
        <w:rPr>
          <w:rFonts w:ascii="Times New Roman" w:hAnsi="Times New Roman" w:eastAsia="Times New Roman" w:cs="Times New Roman"/>
          <w:sz w:val="28"/>
          <w:szCs w:val="28"/>
          <w:u w:val=""/>
        </w:rPr>
        <w:t xml:space="preserve">по усмотрению составителей финансовой модели (рассчитываются </w:t>
      </w:r>
      <w:r>
        <w:br/>
      </w:r>
      <w:r>
        <w:rPr>
          <w:rFonts w:ascii="Times New Roman" w:hAnsi="Times New Roman" w:eastAsia="Times New Roman" w:cs="Times New Roman"/>
          <w:sz w:val="28"/>
          <w:szCs w:val="28"/>
          <w:u w:val=""/>
        </w:rPr>
        <w:t xml:space="preserve">для Получателя средств на основе прогнозной финансовой отчетности): </w:t>
      </w:r>
    </w:p>
    <w:p>
      <w:pPr>
        <w:jc w:val="both"/>
        <w:ind w:left="192"/>
        <w:spacing w:before="0" w:after="0" w:line="288" w:lineRule="auto"/>
        <w:numPr>
          <w:ilvl w:val="0"/>
          <w:numId w:val="132"/>
        </w:numPr>
        <w:rPr>
          <w:sz w:val="28"/>
          <w:szCs w:val="28"/>
          <w:u w:val=""/>
        </w:rPr>
      </w:pPr>
      <w:r>
        <w:rPr>
          <w:rFonts w:ascii="Times New Roman" w:hAnsi="Times New Roman" w:eastAsia="Times New Roman" w:cs="Times New Roman"/>
          <w:sz w:val="28"/>
          <w:szCs w:val="28"/>
          <w:u w:val=""/>
        </w:rPr>
        <w:t xml:space="preserve">показатели рентабельности: рентабельность активов (ROA), рентабельность продаж (ROS), рентабельность собственного капитала (ROE), рентабельность инвестиций (капитала) (ROCE); </w:t>
      </w:r>
    </w:p>
    <w:p>
      <w:pPr>
        <w:jc w:val="both"/>
        <w:ind w:left="192"/>
        <w:spacing w:before="0" w:after="0" w:line="288" w:lineRule="auto"/>
        <w:numPr>
          <w:ilvl w:val="0"/>
          <w:numId w:val="132"/>
        </w:numPr>
        <w:rPr>
          <w:sz w:val="28"/>
          <w:szCs w:val="28"/>
          <w:u w:val=""/>
        </w:rPr>
      </w:pPr>
      <w:r>
        <w:rPr>
          <w:rFonts w:ascii="Times New Roman" w:hAnsi="Times New Roman" w:eastAsia="Times New Roman" w:cs="Times New Roman"/>
          <w:sz w:val="28"/>
          <w:szCs w:val="28"/>
          <w:u w:val=""/>
        </w:rPr>
        <w:t xml:space="preserve">показатели оборачиваемости: оборачиваемость дебиторской задолженности, оборачиваемость кредиторской задолженности, оборачиваемость запасов. </w:t>
      </w:r>
    </w:p>
    <w:p>
      <w:pPr>
        <w:jc w:val="both"/>
        <w:ind/>
        <w:spacing w:before="0" w:after="0" w:line="288" w:lineRule="auto"/>
      </w:pPr>
      <w:r>
        <w:rPr>
          <w:rFonts w:ascii="Times New Roman" w:hAnsi="Times New Roman" w:eastAsia="Times New Roman" w:cs="Times New Roman"/>
          <w:sz w:val="28"/>
          <w:szCs w:val="28"/>
          <w:u w:val=""/>
        </w:rPr>
        <w:t xml:space="preserve">    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 </w:t>
      </w:r>
    </w:p>
    <w:p>
      <w:pPr>
        <w:jc w:val="left"/>
        <w:ind/>
        <w:spacing w:before="0" w:after="0" w:line="432" w:lineRule="auto"/>
      </w:pPr>
      <w:r>
        <w:rPr>
          <w:sz w:val="28"/>
          <w:szCs w:val="28"/>
          <w:u w:val=""/>
        </w:rPr>
        <w:t xml:space="preserve"> </w:t>
      </w:r>
    </w:p>
    <w:p>
      <w:pPr>
        <w:jc w:val="center"/>
        <w:ind/>
        <w:spacing w:before="0" w:after="0" w:line="288" w:lineRule="auto"/>
      </w:pPr>
      <w:r>
        <w:rPr>
          <w:rFonts w:ascii="Times New Roman" w:hAnsi="Times New Roman" w:eastAsia="Times New Roman" w:cs="Times New Roman"/>
          <w:sz w:val="28"/>
          <w:szCs w:val="28"/>
          <w:b/>
          <w:u w:val=""/>
        </w:rPr>
        <w:t xml:space="preserve">4. Методические указания по составлению финансовых прогнозов</w:t>
      </w:r>
    </w:p>
    <w:p>
      <w:pPr>
        <w:jc w:val="both"/>
        <w:ind/>
        <w:spacing w:before="0" w:after="0" w:line="288" w:lineRule="auto"/>
      </w:pPr>
      <w:r>
        <w:rPr>
          <w:rFonts w:ascii="Times New Roman" w:hAnsi="Times New Roman" w:eastAsia="Times New Roman" w:cs="Times New Roman"/>
          <w:sz w:val="28"/>
          <w:szCs w:val="28"/>
          <w:u w:val=""/>
        </w:rPr>
        <w:t xml:space="preserve">Общие требования: </w:t>
      </w:r>
    </w:p>
    <w:p>
      <w:pPr>
        <w:jc w:val="both"/>
        <w:ind/>
        <w:spacing w:before="0" w:after="0" w:line="288" w:lineRule="auto"/>
      </w:pPr>
      <w:r>
        <w:rPr>
          <w:rFonts w:ascii="Times New Roman" w:hAnsi="Times New Roman" w:eastAsia="Times New Roman" w:cs="Times New Roman"/>
          <w:sz w:val="28"/>
          <w:szCs w:val="28"/>
          <w:u w:val=""/>
        </w:rPr>
        <w:t xml:space="preserve">Прогнозируются только денежные потоки, которые будут поступать </w:t>
      </w:r>
      <w:r>
        <w:br/>
      </w:r>
      <w:r>
        <w:rPr>
          <w:rFonts w:ascii="Times New Roman" w:hAnsi="Times New Roman" w:eastAsia="Times New Roman" w:cs="Times New Roman"/>
          <w:sz w:val="28"/>
          <w:szCs w:val="28"/>
          <w:u w:val=""/>
        </w:rPr>
        <w:t xml:space="preserve">в распоряжение (расходоваться) Получателя(ем) средств.</w:t>
      </w:r>
    </w:p>
    <w:p>
      <w:pPr>
        <w:jc w:val="both"/>
        <w:ind/>
        <w:spacing w:before="0" w:after="0" w:line="288" w:lineRule="auto"/>
      </w:pPr>
      <w:r>
        <w:rPr>
          <w:rFonts w:ascii="Times New Roman" w:hAnsi="Times New Roman" w:eastAsia="Times New Roman" w:cs="Times New Roman"/>
          <w:sz w:val="28"/>
          <w:szCs w:val="28"/>
          <w:u w:val=""/>
        </w:rPr>
        <w:t xml:space="preserve">Затраты, связанные с проектом, осуществленные до начального момента прогнозного периода, не должны учитываться в прогнозных финансовых потоках, но могут быть учтены в виде активов на балансе Получателя средств; </w:t>
      </w:r>
    </w:p>
    <w:p>
      <w:pPr>
        <w:jc w:val="both"/>
        <w:ind/>
        <w:spacing w:before="0" w:after="0" w:line="288" w:lineRule="auto"/>
      </w:pPr>
      <w:r>
        <w:rPr>
          <w:rFonts w:ascii="Times New Roman" w:hAnsi="Times New Roman" w:eastAsia="Times New Roman" w:cs="Times New Roman"/>
          <w:sz w:val="28"/>
          <w:szCs w:val="28"/>
          <w:u w:val=""/>
        </w:rPr>
        <w:t xml:space="preserve">График привлечения финансирования должен быть привязан к графику инвестиций, денежные потоки по финансовой деятельности должны прогнозироваться на основе денежных потоков от операционной </w:t>
      </w:r>
      <w:r>
        <w:br/>
      </w:r>
      <w:r>
        <w:rPr>
          <w:rFonts w:ascii="Times New Roman" w:hAnsi="Times New Roman" w:eastAsia="Times New Roman" w:cs="Times New Roman"/>
          <w:sz w:val="28"/>
          <w:szCs w:val="28"/>
          <w:u w:val=""/>
        </w:rPr>
        <w:t xml:space="preserve">и инвестиционной деятельности.</w:t>
      </w:r>
    </w:p>
    <w:p>
      <w:pPr>
        <w:jc w:val="both"/>
        <w:ind/>
        <w:spacing w:before="0" w:after="0" w:line="288" w:lineRule="auto"/>
      </w:pPr>
      <w:r>
        <w:rPr>
          <w:rFonts w:ascii="Times New Roman" w:hAnsi="Times New Roman" w:eastAsia="Times New Roman" w:cs="Times New Roman"/>
          <w:sz w:val="28"/>
          <w:szCs w:val="28"/>
          <w:u w:val=""/>
        </w:rPr>
        <w:t xml:space="preserve">По окончании каждого прогнозного шага сумма остатка денежных средств на расчетных и резервных счетах не могут принимать отрицательные значения (при возникновении в каком-либо периоде недостатка денежных средств должно прогнозироваться привлечение дополнительных источников финансирования). </w:t>
      </w:r>
    </w:p>
    <w:p>
      <w:pPr>
        <w:jc w:val="both"/>
        <w:ind/>
        <w:spacing w:before="0" w:after="0" w:line="288" w:lineRule="auto"/>
      </w:pPr>
      <w:r>
        <w:rPr>
          <w:rFonts w:ascii="Times New Roman" w:hAnsi="Times New Roman" w:eastAsia="Times New Roman" w:cs="Times New Roman"/>
          <w:sz w:val="28"/>
          <w:szCs w:val="28"/>
          <w:u w:val=""/>
        </w:rPr>
        <w:t xml:space="preserve">При привлечении заемного финансирования должны прогнозироваться платежи по обслуживанию долга (с учетом возможной отсрочки выплаты начисленных процентов). </w:t>
      </w:r>
    </w:p>
    <w:p>
      <w:pPr>
        <w:jc w:val="both"/>
        <w:ind/>
        <w:spacing w:before="0" w:after="0" w:line="288" w:lineRule="auto"/>
      </w:pPr>
      <w:r>
        <w:rPr>
          <w:rFonts w:ascii="Times New Roman" w:hAnsi="Times New Roman" w:eastAsia="Times New Roman" w:cs="Times New Roman"/>
          <w:sz w:val="28"/>
          <w:szCs w:val="28"/>
          <w:u w:val=""/>
        </w:rPr>
        <w:t xml:space="preserve">Необходимо прогнозировать денежные потоки в тех валютах, </w:t>
      </w:r>
      <w:r>
        <w:br/>
      </w:r>
      <w:r>
        <w:rPr>
          <w:rFonts w:ascii="Times New Roman" w:hAnsi="Times New Roman" w:eastAsia="Times New Roman" w:cs="Times New Roman"/>
          <w:sz w:val="28"/>
          <w:szCs w:val="28"/>
          <w:u w:val=""/>
        </w:rPr>
        <w:t xml:space="preserve">в которых они реализуются (производятся поступления и платежи), и вслед </w:t>
      </w:r>
      <w:r>
        <w:br/>
      </w:r>
      <w:r>
        <w:rPr>
          <w:rFonts w:ascii="Times New Roman" w:hAnsi="Times New Roman" w:eastAsia="Times New Roman" w:cs="Times New Roman"/>
          <w:sz w:val="28"/>
          <w:szCs w:val="28"/>
          <w:u w:val=""/>
        </w:rPr>
        <w:t xml:space="preserve">за этим приводить их к единой, итоговой валюте. В качестве итоговой валюты следует выбирать валюту, в которой поступает большая часть денежных потоков. </w:t>
      </w:r>
    </w:p>
    <w:p>
      <w:pPr>
        <w:jc w:val="both"/>
        <w:ind/>
        <w:spacing w:before="0" w:after="0" w:line="288" w:lineRule="auto"/>
      </w:pPr>
      <w:r>
        <w:rPr>
          <w:rFonts w:ascii="Times New Roman" w:hAnsi="Times New Roman" w:eastAsia="Times New Roman" w:cs="Times New Roman"/>
          <w:sz w:val="28"/>
          <w:szCs w:val="28"/>
          <w:u w:val=""/>
        </w:rPr>
        <w:t xml:space="preserve">Информацию о движении денежных средств, обусловленном получением и выплатой процентов и дивидендов, следует раскрывать отдельными строками.</w:t>
      </w:r>
    </w:p>
    <w:p>
      <w:pPr>
        <w:jc w:val="both"/>
        <w:ind/>
        <w:spacing w:before="0" w:after="0" w:line="288" w:lineRule="auto"/>
      </w:pPr>
      <w:r>
        <w:rPr>
          <w:rFonts w:ascii="Times New Roman" w:hAnsi="Times New Roman" w:eastAsia="Times New Roman" w:cs="Times New Roman"/>
          <w:sz w:val="28"/>
          <w:szCs w:val="28"/>
          <w:u w:val=""/>
        </w:rPr>
        <w:t xml:space="preserve">Если в конце срока жизни проекта предполагается ликвидация Получателя средств или объекта инвестирования, или передача прав на извлечение доходов </w:t>
      </w:r>
      <w:r>
        <w:br/>
      </w:r>
      <w:r>
        <w:rPr>
          <w:rFonts w:ascii="Times New Roman" w:hAnsi="Times New Roman" w:eastAsia="Times New Roman" w:cs="Times New Roman"/>
          <w:sz w:val="28"/>
          <w:szCs w:val="28"/>
          <w:u w:val=""/>
        </w:rPr>
        <w:t xml:space="preserve">и несение затрат от эксплуатации объекта инвестирования иному лицу, </w:t>
      </w:r>
      <w:r>
        <w:br/>
      </w:r>
      <w:r>
        <w:rPr>
          <w:rFonts w:ascii="Times New Roman" w:hAnsi="Times New Roman" w:eastAsia="Times New Roman" w:cs="Times New Roman"/>
          <w:sz w:val="28"/>
          <w:szCs w:val="28"/>
          <w:u w:val=""/>
        </w:rPr>
        <w:t xml:space="preserve">в денежных потоках Получателя средств должны быть учтены затраты и доходы, связанные с указанной ликвидацией или передачей прав (в том числе, </w:t>
      </w:r>
      <w:r>
        <w:br/>
      </w:r>
      <w:r>
        <w:rPr>
          <w:rFonts w:ascii="Times New Roman" w:hAnsi="Times New Roman" w:eastAsia="Times New Roman" w:cs="Times New Roman"/>
          <w:sz w:val="28"/>
          <w:szCs w:val="28"/>
          <w:u w:val=""/>
        </w:rPr>
        <w:t xml:space="preserve">в соответствии с требованиями законодательства об экологии и недропользовании, а также трудового законодательства). </w:t>
      </w:r>
    </w:p>
    <w:p>
      <w:pPr>
        <w:jc w:val="both"/>
        <w:ind/>
        <w:spacing w:before="0" w:after="0" w:line="288" w:lineRule="auto"/>
      </w:pPr>
      <w:r>
        <w:rPr>
          <w:rFonts w:ascii="Times New Roman" w:hAnsi="Times New Roman" w:eastAsia="Times New Roman" w:cs="Times New Roman"/>
          <w:sz w:val="28"/>
          <w:szCs w:val="28"/>
          <w:u w:val=""/>
        </w:rPr>
        <w:t xml:space="preserve">Срок жизни проекта устанавливается по усмотрению Инициатора проекта. Определять срок жизни проекта как экономически целесообразный (максимизирующий NPV), технически осуществимый и юридически допустимый период, в течение которого предполагается создание, последующая эксплуатация и (если требуется в соответствии с законодательством страны реализации проекта или заключенными договорами между Участниками проекта) ликвидация объекта инвестирования или передача прав на извлечение доходов и несение затрат от эксплуатации объекта инвестирования иному лицу. При определении срока жизни проекта следует принимать во внимание: </w:t>
      </w:r>
    </w:p>
    <w:p>
      <w:pPr>
        <w:jc w:val="both"/>
        <w:ind/>
        <w:spacing w:before="0" w:after="0" w:line="288" w:lineRule="auto"/>
      </w:pPr>
      <w:r>
        <w:rPr>
          <w:rFonts w:ascii="Times New Roman" w:hAnsi="Times New Roman" w:eastAsia="Times New Roman" w:cs="Times New Roman"/>
          <w:sz w:val="28"/>
          <w:szCs w:val="28"/>
          <w:u w:val=""/>
        </w:rPr>
        <w:t xml:space="preserve">• предполагаемый срок прекращения возможности доступа получателя средств к ключевым ресурсам (например, исчерпание сырьевых запасов, окончание срока аренды земельного участка и т.п.); </w:t>
      </w:r>
    </w:p>
    <w:p>
      <w:pPr>
        <w:jc w:val="both"/>
        <w:ind/>
        <w:spacing w:before="0" w:after="0" w:line="288" w:lineRule="auto"/>
      </w:pPr>
      <w:r>
        <w:rPr>
          <w:rFonts w:ascii="Times New Roman" w:hAnsi="Times New Roman" w:eastAsia="Times New Roman" w:cs="Times New Roman"/>
          <w:sz w:val="28"/>
          <w:szCs w:val="28"/>
          <w:u w:val=""/>
        </w:rPr>
        <w:t xml:space="preserve">• предполагаемый срок потери контроля Получателя средств </w:t>
      </w:r>
      <w:r>
        <w:br/>
      </w:r>
      <w:r>
        <w:rPr>
          <w:rFonts w:ascii="Times New Roman" w:hAnsi="Times New Roman" w:eastAsia="Times New Roman" w:cs="Times New Roman"/>
          <w:sz w:val="28"/>
          <w:szCs w:val="28"/>
          <w:u w:val=""/>
        </w:rPr>
        <w:t xml:space="preserve">над объектом инвестирования (например, окончание срока лицензии или срока, закрепленного в договоре концессии и т.д.); </w:t>
      </w:r>
    </w:p>
    <w:p>
      <w:pPr>
        <w:jc w:val="both"/>
        <w:ind/>
        <w:spacing w:before="0" w:after="0" w:line="288" w:lineRule="auto"/>
      </w:pPr>
      <w:r>
        <w:rPr>
          <w:rFonts w:ascii="Times New Roman" w:hAnsi="Times New Roman" w:eastAsia="Times New Roman" w:cs="Times New Roman"/>
          <w:sz w:val="28"/>
          <w:szCs w:val="28"/>
          <w:u w:val=""/>
        </w:rPr>
        <w:t xml:space="preserve">• предполагаемый срок прекращения возможности или целесообразности дальнейшей эксплуатации объекта инвестирования ввиду его физического </w:t>
      </w:r>
      <w:r>
        <w:br/>
      </w:r>
      <w:r>
        <w:rPr>
          <w:rFonts w:ascii="Times New Roman" w:hAnsi="Times New Roman" w:eastAsia="Times New Roman" w:cs="Times New Roman"/>
          <w:sz w:val="28"/>
          <w:szCs w:val="28"/>
          <w:u w:val=""/>
        </w:rPr>
        <w:t xml:space="preserve">или морального износа (в том числе, ввиду изменения технических </w:t>
      </w:r>
      <w:r>
        <w:br/>
      </w:r>
      <w:r>
        <w:rPr>
          <w:rFonts w:ascii="Times New Roman" w:hAnsi="Times New Roman" w:eastAsia="Times New Roman" w:cs="Times New Roman"/>
          <w:sz w:val="28"/>
          <w:szCs w:val="28"/>
          <w:u w:val=""/>
        </w:rPr>
        <w:t xml:space="preserve">и экологических стандартов и норм к производимому продукту, технологии производства или условиям труда, появления более эффективных средств производства); </w:t>
      </w:r>
    </w:p>
    <w:p>
      <w:pPr>
        <w:jc w:val="both"/>
        <w:ind/>
        <w:spacing w:before="0" w:after="0" w:line="288" w:lineRule="auto"/>
      </w:pPr>
      <w:r>
        <w:rPr>
          <w:rFonts w:ascii="Times New Roman" w:hAnsi="Times New Roman" w:eastAsia="Times New Roman" w:cs="Times New Roman"/>
          <w:sz w:val="28"/>
          <w:szCs w:val="28"/>
          <w:u w:val=""/>
        </w:rPr>
        <w:t xml:space="preserve">• предполагаемый срок прекращения потребности рынка в продукте ввиду его морального устаревания или потери конкурентоспособности (продолжительность жизненного цикла продукта). </w:t>
      </w:r>
    </w:p>
    <w:p>
      <w:pPr>
        <w:jc w:val="both"/>
        <w:ind/>
        <w:spacing w:before="0" w:after="0" w:line="288" w:lineRule="auto"/>
      </w:pPr>
      <w:r>
        <w:rPr>
          <w:rFonts w:ascii="Times New Roman" w:hAnsi="Times New Roman" w:eastAsia="Times New Roman" w:cs="Times New Roman"/>
          <w:sz w:val="28"/>
          <w:szCs w:val="28"/>
          <w:u w:val=""/>
        </w:rPr>
        <w:t xml:space="preserve">Продолжительность прогнозного периода устанавливается </w:t>
      </w:r>
      <w:r>
        <w:br/>
      </w:r>
      <w:r>
        <w:rPr>
          <w:rFonts w:ascii="Times New Roman" w:hAnsi="Times New Roman" w:eastAsia="Times New Roman" w:cs="Times New Roman"/>
          <w:sz w:val="28"/>
          <w:szCs w:val="28"/>
          <w:u w:val=""/>
        </w:rPr>
        <w:t xml:space="preserve">по усмотрению Инициатора проекта, но не может быть менее дисконтированного срока окупаемости проекта и срока возврата финансирования (срока возврата кредита Банка или срока выхода Банка из проекта в случае долевого финансирования).</w:t>
      </w:r>
    </w:p>
    <w:p>
      <w:pPr>
        <w:jc w:val="both"/>
        <w:ind/>
        <w:spacing w:before="0" w:after="0" w:line="288" w:lineRule="auto"/>
      </w:pPr>
      <w:r>
        <w:rPr>
          <w:rFonts w:ascii="Times New Roman" w:hAnsi="Times New Roman" w:eastAsia="Times New Roman" w:cs="Times New Roman"/>
          <w:sz w:val="28"/>
          <w:szCs w:val="28"/>
          <w:u w:val=""/>
        </w:rPr>
        <w:t xml:space="preserve">Если по окончании прогнозного периода для Получателя средств экономически целесообразно, технически осуществимо и юридически допустимо продолжать извлекать доходы от эксплуатации инвестиционного объекта </w:t>
      </w:r>
      <w:r>
        <w:br/>
      </w:r>
      <w:r>
        <w:rPr>
          <w:rFonts w:ascii="Times New Roman" w:hAnsi="Times New Roman" w:eastAsia="Times New Roman" w:cs="Times New Roman"/>
          <w:sz w:val="28"/>
          <w:szCs w:val="28"/>
          <w:u w:val=""/>
        </w:rPr>
        <w:t xml:space="preserve">в течение ограниченного или (в исключительных случаях) неограниченного периода времени (например, при эксплуатации возобновляемого ресурса), </w:t>
      </w:r>
      <w:r>
        <w:br/>
      </w:r>
      <w:r>
        <w:rPr>
          <w:rFonts w:ascii="Times New Roman" w:hAnsi="Times New Roman" w:eastAsia="Times New Roman" w:cs="Times New Roman"/>
          <w:sz w:val="28"/>
          <w:szCs w:val="28"/>
          <w:u w:val=""/>
        </w:rPr>
        <w:t xml:space="preserve">при этом предполагается стабилизация денежных потоков, поступающих Получателю средств (прогнозируется изменение денежных потоков с постоянным или нулевым темпом роста), может быть рассмотрен постпрогнозный период </w:t>
      </w:r>
      <w:r>
        <w:br/>
      </w:r>
      <w:r>
        <w:rPr>
          <w:rFonts w:ascii="Times New Roman" w:hAnsi="Times New Roman" w:eastAsia="Times New Roman" w:cs="Times New Roman"/>
          <w:sz w:val="28"/>
          <w:szCs w:val="28"/>
          <w:u w:val=""/>
        </w:rPr>
        <w:t xml:space="preserve">и рассчитана Заключительная стоимость (заключительный денежный поток). </w:t>
      </w:r>
      <w:r>
        <w:br/>
      </w:r>
      <w:r>
        <w:rPr>
          <w:rFonts w:ascii="Times New Roman" w:hAnsi="Times New Roman" w:eastAsia="Times New Roman" w:cs="Times New Roman"/>
          <w:sz w:val="28"/>
          <w:szCs w:val="28"/>
          <w:u w:val=""/>
        </w:rPr>
        <w:t xml:space="preserve">При выделении постпрогнозного периода необходимо обосновать, что продолжение извлечения доходов от эксплуатации инвестиционного объекта для Получателя средств в течение постпрогнозного периода является экономически целесообразным, технически осуществимым и юридически допустимым.</w:t>
      </w:r>
    </w:p>
    <w:p>
      <w:pPr>
        <w:jc w:val="both"/>
        <w:ind/>
        <w:spacing w:before="0" w:after="0" w:line="288" w:lineRule="auto"/>
      </w:pPr>
      <w:r>
        <w:rPr>
          <w:rFonts w:ascii="Times New Roman" w:hAnsi="Times New Roman" w:eastAsia="Times New Roman" w:cs="Times New Roman"/>
          <w:sz w:val="28"/>
          <w:szCs w:val="28"/>
          <w:u w:val=""/>
        </w:rPr>
        <w:t xml:space="preserve">Ставка дисконтирования и дисконтируемые денежные потоки должны относиться к одному и тому же типу (рассчитаны для проекта целиком или только для собственников) и виду (с учетом инфляции или без учета). Ставка дисконтирования должна отражать требуемую доходность для инвестиций, выраженных в той же валюте, что и валюта денежных потоков.</w:t>
      </w:r>
    </w:p>
    <w:p>
      <w:pPr>
        <w:jc w:val="both"/>
        <w:ind/>
        <w:spacing w:before="0" w:after="0" w:line="288" w:lineRule="auto"/>
      </w:pPr>
      <w:r>
        <w:rPr>
          <w:rFonts w:ascii="Times New Roman" w:hAnsi="Times New Roman" w:eastAsia="Times New Roman" w:cs="Times New Roman"/>
          <w:sz w:val="28"/>
          <w:szCs w:val="28"/>
          <w:u w:val=""/>
        </w:rPr>
        <w:t xml:space="preserve">При расчете NPVproject все денежные потоки, включая заключительную стоимость (заключительный денежный поток) должны приводиться </w:t>
      </w:r>
      <w:r>
        <w:br/>
      </w:r>
      <w:r>
        <w:rPr>
          <w:rFonts w:ascii="Times New Roman" w:hAnsi="Times New Roman" w:eastAsia="Times New Roman" w:cs="Times New Roman"/>
          <w:sz w:val="28"/>
          <w:szCs w:val="28"/>
          <w:u w:val=""/>
        </w:rPr>
        <w:t xml:space="preserve">к начальному моменту прогнозного периода путем дисконтирования. </w:t>
      </w:r>
    </w:p>
    <w:p>
      <w:pPr>
        <w:jc w:val="both"/>
        <w:ind/>
        <w:spacing w:before="0" w:after="0" w:line="288" w:lineRule="auto"/>
      </w:pPr>
      <w:r>
        <w:rPr>
          <w:rFonts w:ascii="Times New Roman" w:hAnsi="Times New Roman" w:eastAsia="Times New Roman" w:cs="Times New Roman"/>
          <w:sz w:val="28"/>
          <w:szCs w:val="28"/>
          <w:u w:val="single"/>
        </w:rPr>
        <w:t xml:space="preserve">Особенности построения финансовых прогнозов для действующей компании: </w:t>
      </w:r>
    </w:p>
    <w:p>
      <w:pPr>
        <w:jc w:val="both"/>
        <w:ind w:left="488"/>
        <w:spacing w:before="0" w:after="0" w:line="288" w:lineRule="auto"/>
        <w:numPr>
          <w:ilvl w:val="0"/>
          <w:numId w:val="133"/>
        </w:numPr>
        <w:rPr>
          <w:sz w:val="28"/>
          <w:szCs w:val="28"/>
          <w:u w:val=""/>
        </w:rPr>
      </w:pPr>
      <w:r>
        <w:rPr>
          <w:rFonts w:ascii="Times New Roman" w:hAnsi="Times New Roman" w:eastAsia="Times New Roman" w:cs="Times New Roman"/>
          <w:sz w:val="28"/>
          <w:szCs w:val="28"/>
          <w:u w:val=""/>
        </w:rPr>
        <w:t xml:space="preserve">финансовая модель для действующей компании должна включать прогнозы денежных потоков, которые будут поступать Получателю средств </w:t>
      </w:r>
      <w:r>
        <w:br/>
      </w:r>
      <w:r>
        <w:rPr>
          <w:rFonts w:ascii="Times New Roman" w:hAnsi="Times New Roman" w:eastAsia="Times New Roman" w:cs="Times New Roman"/>
          <w:sz w:val="28"/>
          <w:szCs w:val="28"/>
          <w:u w:val=""/>
        </w:rPr>
        <w:t xml:space="preserve">в случае реализации проекта (прогноз «с проектом») и в случае, если проект </w:t>
      </w:r>
      <w:r>
        <w:br/>
      </w:r>
      <w:r>
        <w:rPr>
          <w:rFonts w:ascii="Times New Roman" w:hAnsi="Times New Roman" w:eastAsia="Times New Roman" w:cs="Times New Roman"/>
          <w:sz w:val="28"/>
          <w:szCs w:val="28"/>
          <w:u w:val=""/>
        </w:rPr>
        <w:t xml:space="preserve">не будет реализован (прогноз «без проекта»); </w:t>
      </w:r>
    </w:p>
    <w:p>
      <w:pPr>
        <w:jc w:val="both"/>
        <w:ind w:left="488"/>
        <w:spacing w:before="0" w:after="0" w:line="288" w:lineRule="auto"/>
        <w:numPr>
          <w:ilvl w:val="0"/>
          <w:numId w:val="133"/>
        </w:numPr>
        <w:rPr>
          <w:sz w:val="28"/>
          <w:szCs w:val="28"/>
          <w:u w:val=""/>
        </w:rPr>
      </w:pPr>
      <w:r>
        <w:rPr>
          <w:rFonts w:ascii="Times New Roman" w:hAnsi="Times New Roman" w:eastAsia="Times New Roman" w:cs="Times New Roman"/>
          <w:sz w:val="28"/>
          <w:szCs w:val="28"/>
          <w:u w:val=""/>
        </w:rPr>
        <w:t xml:space="preserve">денежные потоки по коммерческой деятельности Получателя средств, не связанной с реализацией инвестиционного проекта (в случае, если она предполагается в период реализации проекта) должны включаться </w:t>
      </w:r>
      <w:r>
        <w:br/>
      </w:r>
      <w:r>
        <w:rPr>
          <w:rFonts w:ascii="Times New Roman" w:hAnsi="Times New Roman" w:eastAsia="Times New Roman" w:cs="Times New Roman"/>
          <w:sz w:val="28"/>
          <w:szCs w:val="28"/>
          <w:u w:val=""/>
        </w:rPr>
        <w:t xml:space="preserve">в прогноз «с проектом» и, по возможности, показываться обособленно; </w:t>
      </w:r>
    </w:p>
    <w:p>
      <w:pPr>
        <w:jc w:val="both"/>
        <w:ind w:left="488"/>
        <w:spacing w:before="0" w:after="0" w:line="288" w:lineRule="auto"/>
        <w:numPr>
          <w:ilvl w:val="0"/>
          <w:numId w:val="133"/>
        </w:numPr>
        <w:rPr>
          <w:sz w:val="28"/>
          <w:szCs w:val="28"/>
          <w:u w:val=""/>
        </w:rPr>
      </w:pPr>
      <w:r>
        <w:rPr>
          <w:rFonts w:ascii="Times New Roman" w:hAnsi="Times New Roman" w:eastAsia="Times New Roman" w:cs="Times New Roman"/>
          <w:sz w:val="28"/>
          <w:szCs w:val="28"/>
          <w:u w:val=""/>
        </w:rPr>
        <w:t xml:space="preserve">при построении прогноза «с проектом» должно учитываться возможное взаимное влияние денежных потоков по проекту и по коммерческой деятельности Получателя средств, не связанной с реализацией инвестиционного проекта; </w:t>
      </w:r>
    </w:p>
    <w:p>
      <w:pPr>
        <w:jc w:val="both"/>
        <w:ind w:left="488"/>
        <w:spacing w:before="0" w:after="0" w:line="288" w:lineRule="auto"/>
        <w:numPr>
          <w:ilvl w:val="0"/>
          <w:numId w:val="133"/>
        </w:numPr>
        <w:rPr>
          <w:sz w:val="28"/>
          <w:szCs w:val="28"/>
          <w:u w:val=""/>
        </w:rPr>
      </w:pPr>
      <w:r>
        <w:rPr>
          <w:rFonts w:ascii="Times New Roman" w:hAnsi="Times New Roman" w:eastAsia="Times New Roman" w:cs="Times New Roman"/>
          <w:sz w:val="28"/>
          <w:szCs w:val="28"/>
          <w:u w:val=""/>
        </w:rPr>
        <w:t xml:space="preserve">дисконтированный период окупаемости проекта (DPBPproject) рассчитывается на основе денежных потоков по прогнозу «с проектом» </w:t>
      </w:r>
      <w:r>
        <w:br/>
      </w:r>
      <w:r>
        <w:rPr>
          <w:rFonts w:ascii="Times New Roman" w:hAnsi="Times New Roman" w:eastAsia="Times New Roman" w:cs="Times New Roman"/>
          <w:sz w:val="28"/>
          <w:szCs w:val="28"/>
          <w:u w:val=""/>
        </w:rPr>
        <w:t xml:space="preserve">за вычетом денежных потоков по прогнозу «без проекта»; </w:t>
      </w:r>
    </w:p>
    <w:p>
      <w:pPr>
        <w:jc w:val="both"/>
        <w:ind w:left="488"/>
        <w:spacing w:before="0" w:after="0" w:line="288" w:lineRule="auto"/>
        <w:numPr>
          <w:ilvl w:val="0"/>
          <w:numId w:val="133"/>
        </w:numPr>
        <w:rPr>
          <w:sz w:val="28"/>
          <w:szCs w:val="28"/>
          <w:u w:val=""/>
        </w:rPr>
      </w:pPr>
      <w:r>
        <w:rPr>
          <w:rFonts w:ascii="Times New Roman" w:hAnsi="Times New Roman" w:eastAsia="Times New Roman" w:cs="Times New Roman"/>
          <w:sz w:val="28"/>
          <w:szCs w:val="28"/>
          <w:u w:val=""/>
        </w:rPr>
        <w:t xml:space="preserve">чистая приведенная стоимость проекта (NPVproject) рассчитывается как разница между дисконтированными свободными денежными потоками </w:t>
      </w:r>
      <w:r>
        <w:br/>
      </w:r>
      <w:r>
        <w:rPr>
          <w:rFonts w:ascii="Times New Roman" w:hAnsi="Times New Roman" w:eastAsia="Times New Roman" w:cs="Times New Roman"/>
          <w:sz w:val="28"/>
          <w:szCs w:val="28"/>
          <w:u w:val=""/>
        </w:rPr>
        <w:t xml:space="preserve">по прогнозу «с проектом» и дисконтированными свободными денежными потоками по прогнозу «без проекта»; </w:t>
      </w:r>
    </w:p>
    <w:p>
      <w:pPr>
        <w:jc w:val="both"/>
        <w:ind w:left="488"/>
        <w:spacing w:before="0" w:after="0" w:line="288" w:lineRule="auto"/>
        <w:numPr>
          <w:ilvl w:val="0"/>
          <w:numId w:val="133"/>
        </w:numPr>
        <w:rPr>
          <w:sz w:val="28"/>
          <w:szCs w:val="28"/>
          <w:u w:val=""/>
        </w:rPr>
      </w:pPr>
      <w:r>
        <w:rPr>
          <w:rFonts w:ascii="Times New Roman" w:hAnsi="Times New Roman" w:eastAsia="Times New Roman" w:cs="Times New Roman"/>
          <w:sz w:val="28"/>
          <w:szCs w:val="28"/>
          <w:u w:val=""/>
        </w:rPr>
        <w:t xml:space="preserve">расчет ставки дисконтирования должен производиться на основе прогнозной структуры капитала Получателя средств (в том числе, с учетом ранее полученного долгового финансирования); </w:t>
      </w:r>
    </w:p>
    <w:p>
      <w:pPr>
        <w:jc w:val="both"/>
        <w:ind w:left="488"/>
        <w:spacing w:before="0" w:after="0" w:line="288" w:lineRule="auto"/>
        <w:numPr>
          <w:ilvl w:val="0"/>
          <w:numId w:val="133"/>
        </w:numPr>
        <w:rPr>
          <w:sz w:val="28"/>
          <w:szCs w:val="28"/>
          <w:u w:val=""/>
        </w:rPr>
      </w:pPr>
      <w:r>
        <w:rPr>
          <w:rFonts w:ascii="Times New Roman" w:hAnsi="Times New Roman" w:eastAsia="Times New Roman" w:cs="Times New Roman"/>
          <w:sz w:val="28"/>
          <w:szCs w:val="28"/>
          <w:u w:val=""/>
        </w:rPr>
        <w:t xml:space="preserve">остальные финансовые показатели (коэффициенты) и прогнозная финансовая отчетность Действующей компании строятся на основе прогноза </w:t>
      </w:r>
      <w:r>
        <w:br/>
      </w:r>
      <w:r>
        <w:rPr>
          <w:rFonts w:ascii="Times New Roman" w:hAnsi="Times New Roman" w:eastAsia="Times New Roman" w:cs="Times New Roman"/>
          <w:sz w:val="28"/>
          <w:szCs w:val="28"/>
          <w:u w:val=""/>
        </w:rPr>
        <w:t xml:space="preserve">«с проектом». </w:t>
      </w:r>
    </w:p>
    <w:p>
      <w:pPr>
        <w:jc w:val="left"/>
        <w:ind/>
        <w:spacing w:before="0" w:after="0" w:line="432" w:lineRule="auto"/>
      </w:pPr>
      <w:r>
        <w:rPr>
          <w:sz w:val="28"/>
          <w:szCs w:val="28"/>
          <w:u w:val=""/>
        </w:rPr>
        <w:t xml:space="preserve"> </w:t>
      </w:r>
    </w:p>
    <w:p>
      <w:pPr>
        <w:jc w:val="center"/>
        <w:ind/>
        <w:spacing w:before="0" w:after="0" w:line="288" w:lineRule="auto"/>
      </w:pPr>
      <w:r>
        <w:rPr>
          <w:rFonts w:ascii="Times New Roman" w:hAnsi="Times New Roman" w:eastAsia="Times New Roman" w:cs="Times New Roman"/>
          <w:sz w:val="28"/>
          <w:szCs w:val="28"/>
          <w:b/>
          <w:u w:val=""/>
        </w:rPr>
        <w:t xml:space="preserve">5. Оценка устойчивости финансовых показателей (коэффициентов)</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u w:val=""/>
        </w:rPr>
        <w:t xml:space="preserve">Для оценки устойчивости финансовых показателей (коэффициентов) применяется метод анализа чувствительности – оценки степени воздействия изменения ключевых факторов чувствительности на результаты финансовых прогнозов. Если анализ чувствительности не позволяет измерить/проиллюстрировать отдельные риски, применяются иные методы, </w:t>
      </w:r>
      <w:r>
        <w:br/>
      </w:r>
      <w:r>
        <w:rPr>
          <w:rFonts w:ascii="Times New Roman" w:hAnsi="Times New Roman" w:eastAsia="Times New Roman" w:cs="Times New Roman"/>
          <w:sz w:val="28"/>
          <w:szCs w:val="28"/>
          <w:u w:val=""/>
        </w:rPr>
        <w:t xml:space="preserve">в том числе, расчет точки безубыточности, метод МонтеКарло, сценарный анализ, факторный анализ и т.п. </w:t>
      </w:r>
    </w:p>
    <w:p>
      <w:pPr>
        <w:jc w:val="both"/>
        <w:ind/>
        <w:spacing w:before="0" w:after="0" w:line="288" w:lineRule="auto"/>
      </w:pPr>
      <w:r>
        <w:rPr>
          <w:rFonts w:ascii="Times New Roman" w:hAnsi="Times New Roman" w:eastAsia="Times New Roman" w:cs="Times New Roman"/>
          <w:sz w:val="28"/>
          <w:szCs w:val="28"/>
          <w:u w:val=""/>
        </w:rPr>
        <w:t xml:space="preserve">К ключевым факторам чувствительности относятся допущения (исходные данные) финансовой модели, фактические значения которых в ходе реализации проекта (ввиду невозможности их точной оценки или присущей </w:t>
      </w:r>
      <w:r>
        <w:br/>
      </w:r>
      <w:r>
        <w:rPr>
          <w:rFonts w:ascii="Times New Roman" w:hAnsi="Times New Roman" w:eastAsia="Times New Roman" w:cs="Times New Roman"/>
          <w:sz w:val="28"/>
          <w:szCs w:val="28"/>
          <w:u w:val=""/>
        </w:rPr>
        <w:t xml:space="preserve">им волатильности) могут значительно отклониться от значений, заложенных </w:t>
      </w:r>
      <w:r>
        <w:br/>
      </w:r>
      <w:r>
        <w:rPr>
          <w:rFonts w:ascii="Times New Roman" w:hAnsi="Times New Roman" w:eastAsia="Times New Roman" w:cs="Times New Roman"/>
          <w:sz w:val="28"/>
          <w:szCs w:val="28"/>
          <w:u w:val=""/>
        </w:rPr>
        <w:t xml:space="preserve">в финансовую модель. В частности, к типичным факторам чувствительности можно отнести: </w:t>
      </w:r>
    </w:p>
    <w:p>
      <w:pPr>
        <w:jc w:val="both"/>
        <w:ind w:left="192"/>
        <w:spacing w:before="0" w:after="0" w:line="288" w:lineRule="auto"/>
        <w:numPr>
          <w:ilvl w:val="0"/>
          <w:numId w:val="134"/>
        </w:numPr>
        <w:rPr>
          <w:sz w:val="28"/>
          <w:szCs w:val="28"/>
          <w:u w:val=""/>
        </w:rPr>
      </w:pPr>
      <w:r>
        <w:rPr>
          <w:rFonts w:ascii="Times New Roman" w:hAnsi="Times New Roman" w:eastAsia="Times New Roman" w:cs="Times New Roman"/>
          <w:sz w:val="28"/>
          <w:szCs w:val="28"/>
          <w:u w:val=""/>
        </w:rPr>
        <w:t xml:space="preserve">цены на готовую продукцию и тарифы на услуги; </w:t>
      </w:r>
    </w:p>
    <w:p>
      <w:pPr>
        <w:jc w:val="both"/>
        <w:ind w:left="192"/>
        <w:spacing w:before="0" w:after="0" w:line="288" w:lineRule="auto"/>
        <w:numPr>
          <w:ilvl w:val="0"/>
          <w:numId w:val="134"/>
        </w:numPr>
        <w:rPr>
          <w:sz w:val="28"/>
          <w:szCs w:val="28"/>
          <w:u w:val=""/>
        </w:rPr>
      </w:pPr>
      <w:r>
        <w:rPr>
          <w:rFonts w:ascii="Times New Roman" w:hAnsi="Times New Roman" w:eastAsia="Times New Roman" w:cs="Times New Roman"/>
          <w:sz w:val="28"/>
          <w:szCs w:val="28"/>
          <w:u w:val=""/>
        </w:rPr>
        <w:t xml:space="preserve">объем продаж (интенсивность эксплуатации, число покупателей/пользователей); </w:t>
      </w:r>
    </w:p>
    <w:p>
      <w:pPr>
        <w:jc w:val="both"/>
        <w:ind w:left="192"/>
        <w:spacing w:before="0" w:after="0" w:line="288" w:lineRule="auto"/>
        <w:numPr>
          <w:ilvl w:val="0"/>
          <w:numId w:val="134"/>
        </w:numPr>
        <w:rPr>
          <w:sz w:val="28"/>
          <w:szCs w:val="28"/>
          <w:u w:val=""/>
        </w:rPr>
      </w:pPr>
      <w:r>
        <w:rPr>
          <w:rFonts w:ascii="Times New Roman" w:hAnsi="Times New Roman" w:eastAsia="Times New Roman" w:cs="Times New Roman"/>
          <w:sz w:val="28"/>
          <w:szCs w:val="28"/>
          <w:u w:val=""/>
        </w:rPr>
        <w:t xml:space="preserve">объем капитальных затрат; </w:t>
      </w:r>
    </w:p>
    <w:p>
      <w:pPr>
        <w:jc w:val="both"/>
        <w:ind w:left="192"/>
        <w:spacing w:before="0" w:after="0" w:line="288" w:lineRule="auto"/>
        <w:numPr>
          <w:ilvl w:val="0"/>
          <w:numId w:val="134"/>
        </w:numPr>
        <w:rPr>
          <w:sz w:val="28"/>
          <w:szCs w:val="28"/>
          <w:u w:val=""/>
        </w:rPr>
      </w:pPr>
      <w:r>
        <w:rPr>
          <w:rFonts w:ascii="Times New Roman" w:hAnsi="Times New Roman" w:eastAsia="Times New Roman" w:cs="Times New Roman"/>
          <w:sz w:val="28"/>
          <w:szCs w:val="28"/>
          <w:u w:val=""/>
        </w:rPr>
        <w:t xml:space="preserve">задержки ввода инвестиционного объекта в эксплуатацию и выхода </w:t>
      </w:r>
      <w:r>
        <w:br/>
      </w:r>
      <w:r>
        <w:rPr>
          <w:rFonts w:ascii="Times New Roman" w:hAnsi="Times New Roman" w:eastAsia="Times New Roman" w:cs="Times New Roman"/>
          <w:sz w:val="28"/>
          <w:szCs w:val="28"/>
          <w:u w:val=""/>
        </w:rPr>
        <w:t xml:space="preserve">на проектную мощность; </w:t>
      </w:r>
    </w:p>
    <w:p>
      <w:pPr>
        <w:jc w:val="both"/>
        <w:ind w:left="192"/>
        <w:spacing w:before="0" w:after="0" w:line="288" w:lineRule="auto"/>
        <w:numPr>
          <w:ilvl w:val="0"/>
          <w:numId w:val="134"/>
        </w:numPr>
        <w:rPr>
          <w:sz w:val="28"/>
          <w:szCs w:val="28"/>
          <w:u w:val=""/>
        </w:rPr>
      </w:pPr>
      <w:r>
        <w:rPr>
          <w:rFonts w:ascii="Times New Roman" w:hAnsi="Times New Roman" w:eastAsia="Times New Roman" w:cs="Times New Roman"/>
          <w:sz w:val="28"/>
          <w:szCs w:val="28"/>
          <w:u w:val=""/>
        </w:rPr>
        <w:t xml:space="preserve">цены на основное сырье и материалы, топливо, трудовые ресурсы; </w:t>
      </w:r>
    </w:p>
    <w:p>
      <w:pPr>
        <w:jc w:val="both"/>
        <w:ind w:left="192"/>
        <w:spacing w:before="0" w:after="0" w:line="288" w:lineRule="auto"/>
        <w:numPr>
          <w:ilvl w:val="0"/>
          <w:numId w:val="134"/>
        </w:numPr>
        <w:rPr>
          <w:sz w:val="28"/>
          <w:szCs w:val="28"/>
          <w:u w:val=""/>
        </w:rPr>
      </w:pPr>
      <w:r>
        <w:rPr>
          <w:rFonts w:ascii="Times New Roman" w:hAnsi="Times New Roman" w:eastAsia="Times New Roman" w:cs="Times New Roman"/>
          <w:sz w:val="28"/>
          <w:szCs w:val="28"/>
          <w:u w:val=""/>
        </w:rPr>
        <w:t xml:space="preserve">величину постоянных операционных затрат; </w:t>
      </w:r>
    </w:p>
    <w:p>
      <w:pPr>
        <w:jc w:val="both"/>
        <w:ind w:left="192"/>
        <w:spacing w:before="0" w:after="0" w:line="288" w:lineRule="auto"/>
        <w:numPr>
          <w:ilvl w:val="0"/>
          <w:numId w:val="134"/>
        </w:numPr>
        <w:rPr>
          <w:sz w:val="28"/>
          <w:szCs w:val="28"/>
          <w:u w:val=""/>
        </w:rPr>
      </w:pPr>
      <w:r>
        <w:rPr>
          <w:rFonts w:ascii="Times New Roman" w:hAnsi="Times New Roman" w:eastAsia="Times New Roman" w:cs="Times New Roman"/>
          <w:sz w:val="28"/>
          <w:szCs w:val="28"/>
          <w:u w:val=""/>
        </w:rPr>
        <w:t xml:space="preserve">ставку дисконтирования; </w:t>
      </w:r>
    </w:p>
    <w:p>
      <w:pPr>
        <w:jc w:val="both"/>
        <w:ind w:left="192"/>
        <w:spacing w:before="0" w:after="0" w:line="288" w:lineRule="auto"/>
        <w:numPr>
          <w:ilvl w:val="0"/>
          <w:numId w:val="134"/>
        </w:numPr>
        <w:rPr>
          <w:sz w:val="28"/>
          <w:szCs w:val="28"/>
          <w:u w:val=""/>
        </w:rPr>
      </w:pPr>
      <w:r>
        <w:rPr>
          <w:rFonts w:ascii="Times New Roman" w:hAnsi="Times New Roman" w:eastAsia="Times New Roman" w:cs="Times New Roman"/>
          <w:sz w:val="28"/>
          <w:szCs w:val="28"/>
          <w:u w:val=""/>
        </w:rPr>
        <w:t xml:space="preserve">прогнозные темпы инфляции; </w:t>
      </w:r>
    </w:p>
    <w:p>
      <w:pPr>
        <w:jc w:val="both"/>
        <w:ind w:left="192"/>
        <w:spacing w:before="0" w:after="0" w:line="288" w:lineRule="auto"/>
        <w:numPr>
          <w:ilvl w:val="0"/>
          <w:numId w:val="134"/>
        </w:numPr>
        <w:rPr>
          <w:sz w:val="28"/>
          <w:szCs w:val="28"/>
          <w:u w:val=""/>
        </w:rPr>
      </w:pPr>
      <w:r>
        <w:rPr>
          <w:rFonts w:ascii="Times New Roman" w:hAnsi="Times New Roman" w:eastAsia="Times New Roman" w:cs="Times New Roman"/>
          <w:sz w:val="28"/>
          <w:szCs w:val="28"/>
          <w:u w:val=""/>
        </w:rPr>
        <w:t xml:space="preserve">обменные курсы валют, и т.п. </w:t>
      </w:r>
    </w:p>
    <w:p>
      <w:pPr>
        <w:jc w:val="both"/>
        <w:ind/>
        <w:spacing w:before="0" w:after="0" w:line="288" w:lineRule="auto"/>
      </w:pPr>
      <w:r>
        <w:rPr>
          <w:rFonts w:ascii="Times New Roman" w:hAnsi="Times New Roman" w:eastAsia="Times New Roman" w:cs="Times New Roman"/>
          <w:sz w:val="28"/>
          <w:szCs w:val="28"/>
          <w:u w:val=""/>
        </w:rPr>
        <w:t xml:space="preserve">При необходимости провести анализ чувствительности к изменению ставки дисконтирования, цены реализации продукта, цены ключевого ресурса </w:t>
      </w:r>
      <w:r>
        <w:br/>
      </w:r>
      <w:r>
        <w:rPr>
          <w:rFonts w:ascii="Times New Roman" w:hAnsi="Times New Roman" w:eastAsia="Times New Roman" w:cs="Times New Roman"/>
          <w:sz w:val="28"/>
          <w:szCs w:val="28"/>
          <w:u w:val=""/>
        </w:rPr>
        <w:t xml:space="preserve">и объема продаж. </w:t>
      </w:r>
    </w:p>
    <w:p>
      <w:pPr>
        <w:jc w:val="both"/>
        <w:ind/>
        <w:spacing w:before="0" w:after="0" w:line="288" w:lineRule="auto"/>
      </w:pPr>
      <w:r>
        <w:rPr>
          <w:rFonts w:ascii="Times New Roman" w:hAnsi="Times New Roman" w:eastAsia="Times New Roman" w:cs="Times New Roman"/>
          <w:sz w:val="28"/>
          <w:szCs w:val="28"/>
          <w:u w:val=""/>
        </w:rPr>
        <w:t xml:space="preserve">К типичным результатам финансовых прогнозов, волатильность которых может быть измерена в ходе анализа чувствительности, относятся: </w:t>
      </w:r>
    </w:p>
    <w:p>
      <w:pPr>
        <w:jc w:val="both"/>
        <w:ind w:left="192"/>
        <w:spacing w:before="0" w:after="0" w:line="288" w:lineRule="auto"/>
        <w:numPr>
          <w:ilvl w:val="0"/>
          <w:numId w:val="135"/>
        </w:numPr>
        <w:rPr>
          <w:sz w:val="28"/>
          <w:szCs w:val="28"/>
          <w:u w:val=""/>
        </w:rPr>
      </w:pPr>
      <w:r>
        <w:rPr>
          <w:rFonts w:ascii="Times New Roman" w:hAnsi="Times New Roman" w:eastAsia="Times New Roman" w:cs="Times New Roman"/>
          <w:sz w:val="28"/>
          <w:szCs w:val="28"/>
          <w:u w:val=""/>
        </w:rPr>
        <w:t xml:space="preserve">показатели инвестиционной привлекательности; </w:t>
      </w:r>
    </w:p>
    <w:p>
      <w:pPr>
        <w:jc w:val="both"/>
        <w:ind w:left="192"/>
        <w:spacing w:before="0" w:after="0" w:line="288" w:lineRule="auto"/>
        <w:numPr>
          <w:ilvl w:val="0"/>
          <w:numId w:val="135"/>
        </w:numPr>
        <w:rPr>
          <w:sz w:val="28"/>
          <w:szCs w:val="28"/>
          <w:u w:val=""/>
        </w:rPr>
      </w:pPr>
      <w:r>
        <w:rPr>
          <w:rFonts w:ascii="Times New Roman" w:hAnsi="Times New Roman" w:eastAsia="Times New Roman" w:cs="Times New Roman"/>
          <w:sz w:val="28"/>
          <w:szCs w:val="28"/>
          <w:u w:val=""/>
        </w:rPr>
        <w:t xml:space="preserve">показатели финансовой устойчивости; </w:t>
      </w:r>
    </w:p>
    <w:p>
      <w:pPr>
        <w:jc w:val="both"/>
        <w:ind w:left="192"/>
        <w:spacing w:before="0" w:after="0" w:line="288" w:lineRule="auto"/>
        <w:numPr>
          <w:ilvl w:val="0"/>
          <w:numId w:val="135"/>
        </w:numPr>
        <w:rPr>
          <w:sz w:val="28"/>
          <w:szCs w:val="28"/>
          <w:u w:val=""/>
        </w:rPr>
      </w:pPr>
      <w:r>
        <w:rPr>
          <w:rFonts w:ascii="Times New Roman" w:hAnsi="Times New Roman" w:eastAsia="Times New Roman" w:cs="Times New Roman"/>
          <w:sz w:val="28"/>
          <w:szCs w:val="28"/>
          <w:u w:val=""/>
        </w:rPr>
        <w:t xml:space="preserve">срок возврата кредита; </w:t>
      </w:r>
    </w:p>
    <w:p>
      <w:pPr>
        <w:jc w:val="both"/>
        <w:ind w:left="192"/>
        <w:spacing w:before="0" w:after="0" w:line="288" w:lineRule="auto"/>
        <w:numPr>
          <w:ilvl w:val="0"/>
          <w:numId w:val="135"/>
        </w:numPr>
        <w:rPr>
          <w:sz w:val="28"/>
          <w:szCs w:val="28"/>
          <w:u w:val=""/>
        </w:rPr>
      </w:pPr>
      <w:r>
        <w:rPr>
          <w:rFonts w:ascii="Times New Roman" w:hAnsi="Times New Roman" w:eastAsia="Times New Roman" w:cs="Times New Roman"/>
          <w:sz w:val="28"/>
          <w:szCs w:val="28"/>
          <w:u w:val=""/>
        </w:rPr>
        <w:t xml:space="preserve">оценка рыночной стоимости компании или доли в уставном капитале Получателя средств; </w:t>
      </w:r>
    </w:p>
    <w:p>
      <w:pPr>
        <w:jc w:val="both"/>
        <w:ind w:left="192"/>
        <w:spacing w:before="0" w:after="0" w:line="288" w:lineRule="auto"/>
        <w:numPr>
          <w:ilvl w:val="0"/>
          <w:numId w:val="135"/>
        </w:numPr>
        <w:rPr>
          <w:sz w:val="28"/>
          <w:szCs w:val="28"/>
          <w:u w:val=""/>
        </w:rPr>
      </w:pPr>
      <w:r>
        <w:rPr>
          <w:rFonts w:ascii="Times New Roman" w:hAnsi="Times New Roman" w:eastAsia="Times New Roman" w:cs="Times New Roman"/>
          <w:sz w:val="28"/>
          <w:szCs w:val="28"/>
          <w:u w:val=""/>
        </w:rPr>
        <w:t xml:space="preserve">иные показатели по усмотрению Инициатора проекта. </w:t>
      </w:r>
    </w:p>
    <w:p>
      <w:pPr>
        <w:jc w:val="left"/>
        <w:ind/>
        <w:spacing w:before="0" w:after="0" w:line="432" w:lineRule="auto"/>
      </w:pPr>
      <w:r>
        <w:rPr>
          <w:sz w:val="28"/>
          <w:szCs w:val="28"/>
          <w:u w:val=""/>
        </w:rPr>
        <w:t xml:space="preserve"> </w:t>
      </w:r>
    </w:p>
    <w:p>
      <w:pPr>
        <w:jc w:val="center"/>
        <w:ind/>
        <w:spacing w:before="0" w:after="0" w:line="288" w:lineRule="auto"/>
      </w:pPr>
      <w:r>
        <w:rPr>
          <w:rFonts w:ascii="Times New Roman" w:hAnsi="Times New Roman" w:eastAsia="Times New Roman" w:cs="Times New Roman"/>
          <w:sz w:val="28"/>
          <w:szCs w:val="28"/>
          <w:b/>
          <w:u w:val=""/>
        </w:rPr>
        <w:t xml:space="preserve">6. Требования к описанию финансовой модели</w:t>
      </w:r>
    </w:p>
    <w:p>
      <w:pPr>
        <w:jc w:val="left"/>
        <w:ind/>
        <w:spacing w:before="0" w:after="0" w:line="432" w:lineRule="auto"/>
      </w:pPr>
      <w:r>
        <w:rPr>
          <w:sz w:val="28"/>
          <w:szCs w:val="28"/>
          <w:u w:val=""/>
        </w:rPr>
        <w:t xml:space="preserve"> </w:t>
      </w:r>
    </w:p>
    <w:p>
      <w:pPr>
        <w:jc w:val="both"/>
        <w:ind/>
        <w:spacing w:before="0" w:after="0" w:line="288" w:lineRule="auto"/>
      </w:pPr>
      <w:r>
        <w:rPr>
          <w:rFonts w:ascii="Times New Roman" w:hAnsi="Times New Roman" w:eastAsia="Times New Roman" w:cs="Times New Roman"/>
          <w:sz w:val="28"/>
          <w:szCs w:val="28"/>
          <w:u w:val=""/>
        </w:rPr>
        <w:t xml:space="preserve">Описание финансовой модели оформляется в виде приложения </w:t>
      </w:r>
      <w:r>
        <w:br/>
      </w:r>
      <w:r>
        <w:rPr>
          <w:rFonts w:ascii="Times New Roman" w:hAnsi="Times New Roman" w:eastAsia="Times New Roman" w:cs="Times New Roman"/>
          <w:sz w:val="28"/>
          <w:szCs w:val="28"/>
          <w:u w:val=""/>
        </w:rPr>
        <w:t xml:space="preserve">к финансовой модели. В описание должны быть включены: </w:t>
      </w:r>
    </w:p>
    <w:p>
      <w:pPr>
        <w:jc w:val="both"/>
        <w:ind w:left="568"/>
        <w:spacing w:before="0" w:after="0" w:line="288" w:lineRule="auto"/>
        <w:numPr>
          <w:ilvl w:val="0"/>
          <w:numId w:val="136"/>
        </w:numPr>
        <w:rPr>
          <w:sz w:val="28"/>
          <w:szCs w:val="28"/>
          <w:u w:val=""/>
        </w:rPr>
      </w:pPr>
      <w:r>
        <w:rPr>
          <w:rFonts w:ascii="Times New Roman" w:hAnsi="Times New Roman" w:eastAsia="Times New Roman" w:cs="Times New Roman"/>
          <w:sz w:val="28"/>
          <w:szCs w:val="28"/>
          <w:u w:val=""/>
        </w:rPr>
        <w:t xml:space="preserve">описание структуры финансовой модели; </w:t>
      </w:r>
    </w:p>
    <w:p>
      <w:pPr>
        <w:jc w:val="both"/>
        <w:ind w:left="568"/>
        <w:spacing w:before="0" w:after="0" w:line="288" w:lineRule="auto"/>
        <w:numPr>
          <w:ilvl w:val="0"/>
          <w:numId w:val="136"/>
        </w:numPr>
        <w:rPr>
          <w:sz w:val="28"/>
          <w:szCs w:val="28"/>
          <w:u w:val=""/>
        </w:rPr>
      </w:pPr>
      <w:r>
        <w:rPr>
          <w:rFonts w:ascii="Times New Roman" w:hAnsi="Times New Roman" w:eastAsia="Times New Roman" w:cs="Times New Roman"/>
          <w:sz w:val="28"/>
          <w:szCs w:val="28"/>
          <w:u w:val=""/>
        </w:rPr>
        <w:t xml:space="preserve">описание механизма работы макросов, использованных в финансовой модели (если применимо); </w:t>
      </w:r>
    </w:p>
    <w:p>
      <w:pPr>
        <w:jc w:val="both"/>
        <w:ind w:left="568"/>
        <w:spacing w:before="0" w:after="0" w:line="288" w:lineRule="auto"/>
        <w:numPr>
          <w:ilvl w:val="0"/>
          <w:numId w:val="136"/>
        </w:numPr>
        <w:rPr>
          <w:sz w:val="28"/>
          <w:szCs w:val="28"/>
          <w:u w:val=""/>
        </w:rPr>
      </w:pPr>
      <w:r>
        <w:rPr>
          <w:rFonts w:ascii="Times New Roman" w:hAnsi="Times New Roman" w:eastAsia="Times New Roman" w:cs="Times New Roman"/>
          <w:sz w:val="28"/>
          <w:szCs w:val="28"/>
          <w:u w:val=""/>
        </w:rPr>
        <w:t xml:space="preserve">основные допущения (предположения) и исходные данные </w:t>
      </w:r>
      <w:r>
        <w:br/>
      </w:r>
      <w:r>
        <w:rPr>
          <w:rFonts w:ascii="Times New Roman" w:hAnsi="Times New Roman" w:eastAsia="Times New Roman" w:cs="Times New Roman"/>
          <w:sz w:val="28"/>
          <w:szCs w:val="28"/>
          <w:u w:val=""/>
        </w:rPr>
        <w:t xml:space="preserve">для финансовых прогнозов, с указанием источников информации, </w:t>
      </w:r>
      <w:r>
        <w:br/>
      </w:r>
      <w:r>
        <w:rPr>
          <w:rFonts w:ascii="Times New Roman" w:hAnsi="Times New Roman" w:eastAsia="Times New Roman" w:cs="Times New Roman"/>
          <w:sz w:val="28"/>
          <w:szCs w:val="28"/>
          <w:u w:val=""/>
        </w:rPr>
        <w:t xml:space="preserve">если они не приведены в бизнес-плане; </w:t>
      </w:r>
    </w:p>
    <w:p>
      <w:pPr>
        <w:jc w:val="both"/>
        <w:ind w:left="568"/>
        <w:spacing w:before="0" w:after="0" w:line="288" w:lineRule="auto"/>
        <w:numPr>
          <w:ilvl w:val="0"/>
          <w:numId w:val="136"/>
        </w:numPr>
        <w:rPr>
          <w:sz w:val="28"/>
          <w:szCs w:val="28"/>
          <w:u w:val=""/>
        </w:rPr>
      </w:pPr>
      <w:r>
        <w:rPr>
          <w:rFonts w:ascii="Times New Roman" w:hAnsi="Times New Roman" w:eastAsia="Times New Roman" w:cs="Times New Roman"/>
          <w:sz w:val="28"/>
          <w:szCs w:val="28"/>
          <w:u w:val=""/>
        </w:rPr>
        <w:t xml:space="preserve">формулы расчета финансовых показателей (коэффициентов), </w:t>
      </w:r>
      <w:r>
        <w:br/>
      </w:r>
      <w:r>
        <w:rPr>
          <w:rFonts w:ascii="Times New Roman" w:hAnsi="Times New Roman" w:eastAsia="Times New Roman" w:cs="Times New Roman"/>
          <w:sz w:val="28"/>
          <w:szCs w:val="28"/>
          <w:u w:val=""/>
        </w:rPr>
        <w:t xml:space="preserve">если они не приведены в бизнес-плане; </w:t>
      </w:r>
    </w:p>
    <w:p>
      <w:pPr>
        <w:jc w:val="both"/>
        <w:ind w:left="568"/>
        <w:spacing w:before="0" w:after="0" w:line="288" w:lineRule="auto"/>
        <w:numPr>
          <w:ilvl w:val="0"/>
          <w:numId w:val="136"/>
        </w:numPr>
        <w:rPr>
          <w:sz w:val="28"/>
          <w:szCs w:val="28"/>
          <w:u w:val=""/>
        </w:rPr>
      </w:pPr>
      <w:r>
        <w:rPr>
          <w:rFonts w:ascii="Times New Roman" w:hAnsi="Times New Roman" w:eastAsia="Times New Roman" w:cs="Times New Roman"/>
          <w:sz w:val="28"/>
          <w:szCs w:val="28"/>
          <w:u w:val=""/>
        </w:rPr>
        <w:t xml:space="preserve">контактные данные лиц, ответственных за предоставление разъяснений по финансовой модели; </w:t>
      </w:r>
    </w:p>
    <w:p>
      <w:pPr>
        <w:jc w:val="both"/>
        <w:ind w:left="568"/>
        <w:spacing w:before="0" w:after="0" w:line="288" w:lineRule="auto"/>
        <w:numPr>
          <w:ilvl w:val="0"/>
          <w:numId w:val="136"/>
        </w:numPr>
        <w:rPr>
          <w:sz w:val="28"/>
          <w:szCs w:val="28"/>
          <w:u w:val=""/>
        </w:rPr>
      </w:pPr>
      <w:r>
        <w:rPr>
          <w:rFonts w:ascii="Times New Roman" w:hAnsi="Times New Roman" w:eastAsia="Times New Roman" w:cs="Times New Roman"/>
          <w:sz w:val="28"/>
          <w:szCs w:val="28"/>
          <w:u w:val=""/>
        </w:rPr>
        <w:t xml:space="preserve">иная информация, необходимая для понимания структуры, принципов построения, механизма работы, и иных особенностей финансовой модели. </w:t>
      </w:r>
    </w:p>
    <w:p>
      <w:pPr>
        <w:jc w:val="both"/>
        <w:ind/>
        <w:spacing w:before="0" w:after="0" w:line="288" w:lineRule="auto"/>
      </w:pPr>
      <w:r>
        <w:rPr>
          <w:rFonts w:ascii="Times New Roman" w:hAnsi="Times New Roman" w:eastAsia="Times New Roman" w:cs="Times New Roman"/>
          <w:sz w:val="28"/>
          <w:szCs w:val="28"/>
          <w:b/>
          <w:u w:val=""/>
        </w:rPr>
        <w:t xml:space="preserve">Необходимые источники информации</w:t>
      </w:r>
    </w:p>
    <w:p>
      <w:pPr>
        <w:jc w:val="both"/>
        <w:ind/>
        <w:spacing w:before="0" w:after="0" w:line="288" w:lineRule="auto"/>
      </w:pPr>
      <w:r>
        <w:rPr>
          <w:rFonts w:ascii="Times New Roman" w:hAnsi="Times New Roman" w:eastAsia="Times New Roman" w:cs="Times New Roman"/>
          <w:sz w:val="28"/>
          <w:szCs w:val="28"/>
          <w:u w:val=""/>
        </w:rPr>
        <w:t xml:space="preserve">Источники информации для подготовки бизнес-плана и исходных данных (допущений) для финансовой модели включают: </w:t>
      </w:r>
    </w:p>
    <w:p>
      <w:pPr>
        <w:jc w:val="both"/>
        <w:ind w:left="488"/>
        <w:spacing w:before="0" w:after="0" w:line="288" w:lineRule="auto"/>
        <w:numPr>
          <w:ilvl w:val="0"/>
          <w:numId w:val="137"/>
        </w:numPr>
        <w:rPr>
          <w:sz w:val="28"/>
          <w:szCs w:val="28"/>
          <w:u w:val=""/>
        </w:rPr>
      </w:pPr>
      <w:r>
        <w:rPr>
          <w:rFonts w:ascii="Times New Roman" w:hAnsi="Times New Roman" w:eastAsia="Times New Roman" w:cs="Times New Roman"/>
          <w:sz w:val="28"/>
          <w:szCs w:val="28"/>
          <w:u w:val=""/>
        </w:rPr>
        <w:t xml:space="preserve">документы, выданные или подписанные третьими лицами, которые </w:t>
      </w:r>
      <w:r>
        <w:br/>
      </w:r>
      <w:r>
        <w:rPr>
          <w:rFonts w:ascii="Times New Roman" w:hAnsi="Times New Roman" w:eastAsia="Times New Roman" w:cs="Times New Roman"/>
          <w:sz w:val="28"/>
          <w:szCs w:val="28"/>
          <w:u w:val=""/>
        </w:rPr>
        <w:t xml:space="preserve">не являются аффилированными с Получателем средств (разрешительно согласовательная документация; договора, сметы и калькуляции; спецификации, прайс-листы, иные документы); </w:t>
      </w:r>
    </w:p>
    <w:p>
      <w:pPr>
        <w:jc w:val="both"/>
        <w:ind w:left="488"/>
        <w:spacing w:before="0" w:after="0" w:line="288" w:lineRule="auto"/>
        <w:numPr>
          <w:ilvl w:val="0"/>
          <w:numId w:val="137"/>
        </w:numPr>
        <w:rPr>
          <w:sz w:val="28"/>
          <w:szCs w:val="28"/>
          <w:u w:val=""/>
        </w:rPr>
      </w:pPr>
      <w:r>
        <w:rPr>
          <w:rFonts w:ascii="Times New Roman" w:hAnsi="Times New Roman" w:eastAsia="Times New Roman" w:cs="Times New Roman"/>
          <w:sz w:val="28"/>
          <w:szCs w:val="28"/>
          <w:u w:val=""/>
        </w:rPr>
        <w:t xml:space="preserve">исторические данные по финансово-хозяйственной деятельности Получателя средств (на основе управленческой и финансовой отчетности); </w:t>
      </w:r>
    </w:p>
    <w:p>
      <w:pPr>
        <w:jc w:val="both"/>
        <w:ind w:left="488"/>
        <w:spacing w:before="0" w:after="0" w:line="288" w:lineRule="auto"/>
        <w:numPr>
          <w:ilvl w:val="0"/>
          <w:numId w:val="137"/>
        </w:numPr>
        <w:rPr>
          <w:sz w:val="28"/>
          <w:szCs w:val="28"/>
          <w:u w:val=""/>
        </w:rPr>
      </w:pPr>
      <w:r>
        <w:rPr>
          <w:rFonts w:ascii="Times New Roman" w:hAnsi="Times New Roman" w:eastAsia="Times New Roman" w:cs="Times New Roman"/>
          <w:sz w:val="28"/>
          <w:szCs w:val="28"/>
          <w:u w:val=""/>
        </w:rPr>
        <w:t xml:space="preserve">действующие нормативно-правовые акты; </w:t>
      </w:r>
    </w:p>
    <w:p>
      <w:pPr>
        <w:jc w:val="both"/>
        <w:ind w:left="488"/>
        <w:spacing w:before="0" w:after="0" w:line="288" w:lineRule="auto"/>
        <w:numPr>
          <w:ilvl w:val="0"/>
          <w:numId w:val="137"/>
        </w:numPr>
        <w:rPr>
          <w:sz w:val="28"/>
          <w:szCs w:val="28"/>
          <w:u w:val=""/>
        </w:rPr>
      </w:pPr>
      <w:r>
        <w:rPr>
          <w:rFonts w:ascii="Times New Roman" w:hAnsi="Times New Roman" w:eastAsia="Times New Roman" w:cs="Times New Roman"/>
          <w:sz w:val="28"/>
          <w:szCs w:val="28"/>
          <w:u w:val=""/>
        </w:rPr>
        <w:t xml:space="preserve">официальные данные отраслевой и макроэкономической статистики; </w:t>
      </w:r>
    </w:p>
    <w:p>
      <w:pPr>
        <w:jc w:val="both"/>
        <w:ind w:left="488"/>
        <w:spacing w:before="0" w:after="0" w:line="288" w:lineRule="auto"/>
        <w:numPr>
          <w:ilvl w:val="0"/>
          <w:numId w:val="137"/>
        </w:numPr>
        <w:rPr>
          <w:sz w:val="28"/>
          <w:szCs w:val="28"/>
          <w:u w:val=""/>
        </w:rPr>
      </w:pPr>
      <w:r>
        <w:rPr>
          <w:rFonts w:ascii="Times New Roman" w:hAnsi="Times New Roman" w:eastAsia="Times New Roman" w:cs="Times New Roman"/>
          <w:sz w:val="28"/>
          <w:szCs w:val="28"/>
          <w:u w:val=""/>
        </w:rPr>
        <w:t xml:space="preserve">результаты аналитических исследований, произведенных независимыми экспертами, обладающими необходимой квалификацией и опытом, в том числе специально проведенных исследований по проекту; </w:t>
      </w:r>
    </w:p>
    <w:p>
      <w:pPr>
        <w:jc w:val="both"/>
        <w:ind w:left="488"/>
        <w:spacing w:before="0" w:after="0" w:line="288" w:lineRule="auto"/>
        <w:numPr>
          <w:ilvl w:val="0"/>
          <w:numId w:val="137"/>
        </w:numPr>
        <w:rPr>
          <w:sz w:val="28"/>
          <w:szCs w:val="28"/>
          <w:u w:val=""/>
        </w:rPr>
      </w:pPr>
      <w:r>
        <w:rPr>
          <w:rFonts w:ascii="Times New Roman" w:hAnsi="Times New Roman" w:eastAsia="Times New Roman" w:cs="Times New Roman"/>
          <w:sz w:val="28"/>
          <w:szCs w:val="28"/>
          <w:u w:val=""/>
        </w:rPr>
        <w:t xml:space="preserve">данные специализированных отраслевых, маркетинговых, финансовых </w:t>
      </w:r>
      <w:r>
        <w:br/>
      </w:r>
      <w:r>
        <w:rPr>
          <w:rFonts w:ascii="Times New Roman" w:hAnsi="Times New Roman" w:eastAsia="Times New Roman" w:cs="Times New Roman"/>
          <w:sz w:val="28"/>
          <w:szCs w:val="28"/>
          <w:u w:val=""/>
        </w:rPr>
        <w:t xml:space="preserve">и иных аналитических изданий, и Интернет-сайтов; </w:t>
      </w:r>
    </w:p>
    <w:p>
      <w:pPr>
        <w:jc w:val="both"/>
        <w:ind w:left="488"/>
        <w:spacing w:before="0" w:after="0" w:line="288" w:lineRule="auto"/>
        <w:numPr>
          <w:ilvl w:val="0"/>
          <w:numId w:val="137"/>
        </w:numPr>
        <w:rPr>
          <w:sz w:val="28"/>
          <w:szCs w:val="28"/>
          <w:u w:val=""/>
        </w:rPr>
      </w:pPr>
      <w:r>
        <w:rPr>
          <w:rFonts w:ascii="Times New Roman" w:hAnsi="Times New Roman" w:eastAsia="Times New Roman" w:cs="Times New Roman"/>
          <w:sz w:val="28"/>
          <w:szCs w:val="28"/>
          <w:u w:val=""/>
        </w:rPr>
        <w:t xml:space="preserve">аналитическая и статистическая информация общепризнанных информационно-аналитических агентств, банков, фондовых и товарных бирж; </w:t>
      </w:r>
    </w:p>
    <w:p>
      <w:pPr>
        <w:jc w:val="both"/>
        <w:ind w:left="488"/>
        <w:spacing w:before="0" w:after="0" w:line="288" w:lineRule="auto"/>
        <w:numPr>
          <w:ilvl w:val="0"/>
          <w:numId w:val="137"/>
        </w:numPr>
        <w:rPr>
          <w:sz w:val="28"/>
          <w:szCs w:val="28"/>
          <w:u w:val=""/>
        </w:rPr>
      </w:pPr>
      <w:r>
        <w:rPr>
          <w:rFonts w:ascii="Times New Roman" w:hAnsi="Times New Roman" w:eastAsia="Times New Roman" w:cs="Times New Roman"/>
          <w:sz w:val="28"/>
          <w:szCs w:val="28"/>
          <w:u w:val=""/>
        </w:rPr>
        <w:t xml:space="preserve">данные из иных открытых источников, которые могут быть признаны достоверными и объективными. </w:t>
      </w:r>
    </w:p>
    <w:p>
      <w:pPr>
        <w:jc w:val="left"/>
        <w:ind/>
        <w:spacing w:before="0" w:after="0" w:line="432" w:lineRule="auto"/>
      </w:pPr>
      <w:r>
        <w:rPr>
          <w:sz w:val="28"/>
          <w:szCs w:val="28"/>
          <w:u w:val=""/>
        </w:rPr>
        <w:t xml:space="preserve"> </w:t>
      </w:r>
    </w:p>
    <w:p>
      <w:pPr>
        <w:jc w:val="left"/>
        <w:ind/>
        <w:spacing w:before="0" w:after="0" w:line="432" w:lineRule="auto"/>
      </w:pPr>
      <w:r>
        <w:rPr>
          <w:u w:val=""/>
        </w:rPr>
        <w:t xml:space="preserve"> </w:t>
      </w:r>
    </w:p>
    <w:sectPr>
      <w:pgSz w:orient="portrait" w:w="11906" w:h="16838" w:code="9"/>
      <w:pgMar w:top="1134" w:right="850" w:bottom="1134" w:left="1701" w:header="720" w:footer="720" w:gutter="0"/>
      <w:cols w:num="1"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spacing w:before="0" w:after="0" w:line="432"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spacing w:before="0" w:after="0" w:line="432"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spacing w:before="0" w:after="0" w:line="432" w:lineRule="auto"/>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spacing w:before="0" w:after="0" w:line="432"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spacing w:before="0" w:after="0" w:line="432"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left"/>
      <w:ind/>
      <w:spacing w:before="0" w:after="0" w:line="432"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BD71DF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8777B2AF"/>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8">
    <w:nsid w:val="2EB55F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BA882A76"/>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0">
    <w:nsid w:val="8F6286EB"/>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1">
    <w:nsid w:val="6EB8E0B2"/>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2">
    <w:nsid w:val="E4D6B80C"/>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3">
    <w:nsid w:val="B9ADEBFA"/>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4">
    <w:nsid w:val="280D8D1A"/>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5">
    <w:nsid w:val="4B5E0E91"/>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6">
    <w:nsid w:val="527404B5"/>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7">
    <w:nsid w:val="078E4292"/>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8">
    <w:nsid w:val="38C907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2C22BE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A5C2A6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650EE2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8C73CC9B"/>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23">
    <w:nsid w:val="B4F6226E"/>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24">
    <w:nsid w:val="25EED9E2"/>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25">
    <w:nsid w:val="D90C89AF"/>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26">
    <w:nsid w:val="D1D94639"/>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27">
    <w:nsid w:val="40800B3A"/>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28">
    <w:nsid w:val="046E06C1"/>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29">
    <w:nsid w:val="C4600E3B"/>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30">
    <w:nsid w:val="B2378B37"/>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31">
    <w:nsid w:val="56E921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21CE52D3"/>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33">
    <w:nsid w:val="641FB96F"/>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34">
    <w:nsid w:val="72F0C996"/>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35">
    <w:nsid w:val="AB58C8A4"/>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36">
    <w:nsid w:val="FB868A13"/>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37">
    <w:nsid w:val="914CE9E2"/>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38">
    <w:nsid w:val="4FCAC1D9"/>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39">
    <w:nsid w:val="51FFEAD4"/>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40">
    <w:nsid w:val="D59A7CBA"/>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41">
    <w:nsid w:val="FDEA8F73"/>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42">
    <w:nsid w:val="67DDDE81"/>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43">
    <w:nsid w:val="BDF9E0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4">
    <w:nsid w:val="0BE6211D"/>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45">
    <w:nsid w:val="D15C095F"/>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46">
    <w:nsid w:val="389384ED"/>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47">
    <w:nsid w:val="BA25042E"/>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48">
    <w:nsid w:val="7B363116"/>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49">
    <w:nsid w:val="F60FF1F1"/>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50">
    <w:nsid w:val="89511D67"/>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51">
    <w:nsid w:val="B01E6A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2">
    <w:nsid w:val="26D65239"/>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53">
    <w:nsid w:val="552152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4">
    <w:nsid w:val="C7648F8C"/>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55">
    <w:nsid w:val="AF401D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6">
    <w:nsid w:val="18C863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7">
    <w:nsid w:val="7F65E0E8"/>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58">
    <w:nsid w:val="D4BA99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9">
    <w:nsid w:val="68ACBAED"/>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60">
    <w:nsid w:val="C78AE936"/>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61">
    <w:nsid w:val="1B770DE6"/>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62">
    <w:nsid w:val="42970D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63">
    <w:nsid w:val="72035844"/>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64">
    <w:nsid w:val="F89D2F99"/>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65">
    <w:nsid w:val="03FD7856"/>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66">
    <w:nsid w:val="59D2D490"/>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67">
    <w:nsid w:val="7E84ADA2"/>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68">
    <w:nsid w:val="D7E07D8F"/>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69">
    <w:nsid w:val="AFF69B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0">
    <w:nsid w:val="8FE6BCAE"/>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71">
    <w:nsid w:val="44D1A37F"/>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72">
    <w:nsid w:val="8C4F1CD6"/>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73">
    <w:nsid w:val="9BF570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74">
    <w:nsid w:val="95BD2048"/>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75">
    <w:nsid w:val="DF25A24D"/>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76">
    <w:nsid w:val="255EE5FF"/>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77">
    <w:nsid w:val="28506BB0"/>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78">
    <w:nsid w:val="7BF3C658"/>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79">
    <w:nsid w:val="892122A1"/>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80">
    <w:nsid w:val="BA2D1E1D"/>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81">
    <w:nsid w:val="A011A42D"/>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82">
    <w:nsid w:val="CA301BF2"/>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83">
    <w:nsid w:val="FADE6B85"/>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84">
    <w:nsid w:val="94CA111C"/>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85">
    <w:nsid w:val="EF4D10F1"/>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86">
    <w:nsid w:val="8619BECF"/>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87">
    <w:nsid w:val="6332B913"/>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88">
    <w:nsid w:val="1137F1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9">
    <w:nsid w:val="E5340983"/>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90">
    <w:nsid w:val="E246FFC4"/>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91">
    <w:nsid w:val="733E5801"/>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92">
    <w:nsid w:val="E126A8D4"/>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93">
    <w:nsid w:val="A797A8FE"/>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94">
    <w:nsid w:val="2C78297E"/>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95">
    <w:nsid w:val="F7350FE5"/>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96">
    <w:nsid w:val="A655CA09"/>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97">
    <w:nsid w:val="72DDB827"/>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98">
    <w:nsid w:val="FB313C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9">
    <w:nsid w:val="D6889F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0">
    <w:nsid w:val="896BC2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1">
    <w:nsid w:val="406C9277"/>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02">
    <w:nsid w:val="92637D60"/>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03">
    <w:nsid w:val="25CDE3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4">
    <w:nsid w:val="A4EB0508"/>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05">
    <w:nsid w:val="7FE02B66"/>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06">
    <w:nsid w:val="48DD304C"/>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07">
    <w:nsid w:val="556ECD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8">
    <w:nsid w:val="7C3F45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9">
    <w:nsid w:val="AABACA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0">
    <w:nsid w:val="289FA2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1">
    <w:nsid w:val="BEB113CB"/>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12">
    <w:nsid w:val="15DE4C8B"/>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13">
    <w:nsid w:val="7F4FAA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4">
    <w:nsid w:val="AE24AD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5">
    <w:nsid w:val="9FA90424"/>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16">
    <w:nsid w:val="F4DC61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7">
    <w:nsid w:val="FC90E4A8"/>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18">
    <w:nsid w:val="851BCF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9">
    <w:nsid w:val="D311F5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0">
    <w:nsid w:val="6875D8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1">
    <w:nsid w:val="81E8D00A"/>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22">
    <w:nsid w:val="840746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3">
    <w:nsid w:val="E66285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4">
    <w:nsid w:val="F29ECA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5">
    <w:nsid w:val="CA3D18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6">
    <w:nsid w:val="3F78B8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7">
    <w:nsid w:val="324A793F"/>
    <w:multiLevelType w:val="hybridMultilevel"/>
    <w:lvl w:ilvl="0">
      <w:start w:val="1"/>
      <w:numFmt w:val="decimal"/>
      <w:suff w:val="tab"/>
      <w:lvlText w:val="%1."/>
      <w:lvlJc w:val="left"/>
      <w:pPr>
        <w:tabs>
          <w:tab w:val="num" w:pos="810"/>
        </w:tabs>
        <w:ind w:left="810" w:hanging="360"/>
      </w:pPr>
      <w:rPr>
        <w:rFonts w:ascii="" w:hAnsi="" w:cs="" w:hint="default"/>
      </w:rPr>
    </w:lvl>
    <w:lvl w:ilvl="1">
      <w:start w:val="1"/>
      <w:numFmt w:val="decimal"/>
      <w:suff w:val="tab"/>
      <w:lvlText w:val="%2."/>
      <w:lvlJc w:val="left"/>
      <w:pPr>
        <w:tabs>
          <w:tab w:val="num" w:pos="1260"/>
        </w:tabs>
        <w:ind w:left="1260" w:hanging="360"/>
      </w:pPr>
      <w:rPr>
        <w:rFonts w:ascii="" w:hAnsi="" w:cs="" w:hint="default"/>
      </w:rPr>
    </w:lvl>
    <w:lvl w:ilvl="2">
      <w:start w:val="1"/>
      <w:numFmt w:val="decimal"/>
      <w:suff w:val="tab"/>
      <w:lvlText w:val="%3."/>
      <w:lvlJc w:val="left"/>
      <w:pPr>
        <w:tabs>
          <w:tab w:val="num" w:pos="1710"/>
        </w:tabs>
        <w:ind w:left="1710" w:hanging="360"/>
      </w:pPr>
      <w:rPr>
        <w:rFonts w:ascii="" w:hAnsi="" w:cs="" w:hint="default"/>
      </w:rPr>
    </w:lvl>
    <w:lvl w:ilvl="3">
      <w:start w:val="1"/>
      <w:numFmt w:val="decimal"/>
      <w:suff w:val="tab"/>
      <w:lvlText w:val="%4."/>
      <w:lvlJc w:val="left"/>
      <w:pPr>
        <w:tabs>
          <w:tab w:val="num" w:pos="2160"/>
        </w:tabs>
        <w:ind w:left="2160" w:hanging="360"/>
      </w:pPr>
      <w:rPr>
        <w:rFonts w:ascii="" w:hAnsi="" w:cs="" w:hint="default"/>
      </w:rPr>
    </w:lvl>
    <w:lvl w:ilvl="4">
      <w:start w:val="1"/>
      <w:numFmt w:val="decimal"/>
      <w:suff w:val="tab"/>
      <w:lvlText w:val="%5."/>
      <w:lvlJc w:val="left"/>
      <w:pPr>
        <w:tabs>
          <w:tab w:val="num" w:pos="2610"/>
        </w:tabs>
        <w:ind w:left="2610" w:hanging="360"/>
      </w:pPr>
      <w:rPr>
        <w:rFonts w:ascii="" w:hAnsi="" w:cs="" w:hint="default"/>
      </w:rPr>
    </w:lvl>
    <w:lvl w:ilvl="5">
      <w:start w:val="1"/>
      <w:numFmt w:val="decimal"/>
      <w:suff w:val="tab"/>
      <w:lvlText w:val="%6."/>
      <w:lvlJc w:val="left"/>
      <w:pPr>
        <w:tabs>
          <w:tab w:val="num" w:pos="3060"/>
        </w:tabs>
        <w:ind w:left="3060" w:hanging="360"/>
      </w:pPr>
      <w:rPr>
        <w:rFonts w:ascii="" w:hAnsi="" w:cs="" w:hint="default"/>
      </w:rPr>
    </w:lvl>
    <w:lvl w:ilvl="6">
      <w:start w:val="1"/>
      <w:numFmt w:val="decimal"/>
      <w:suff w:val="tab"/>
      <w:lvlText w:val="%7."/>
      <w:lvlJc w:val="left"/>
      <w:pPr>
        <w:tabs>
          <w:tab w:val="num" w:pos="3510"/>
        </w:tabs>
        <w:ind w:left="3510" w:hanging="360"/>
      </w:pPr>
      <w:rPr>
        <w:rFonts w:ascii="" w:hAnsi="" w:cs="" w:hint="default"/>
      </w:rPr>
    </w:lvl>
    <w:lvl w:ilvl="7">
      <w:start w:val="1"/>
      <w:numFmt w:val="decimal"/>
      <w:suff w:val="tab"/>
      <w:lvlText w:val="%8."/>
      <w:lvlJc w:val="left"/>
      <w:pPr>
        <w:tabs>
          <w:tab w:val="num" w:pos="3960"/>
        </w:tabs>
        <w:ind w:left="3960" w:hanging="360"/>
      </w:pPr>
      <w:rPr>
        <w:rFonts w:ascii="" w:hAnsi="" w:cs="" w:hint="default"/>
      </w:rPr>
    </w:lvl>
    <w:lvl w:ilvl="8">
      <w:start w:val="1"/>
      <w:numFmt w:val="decimal"/>
      <w:suff w:val="tab"/>
      <w:lvlText w:val="%9."/>
      <w:lvlJc w:val="left"/>
      <w:pPr>
        <w:tabs>
          <w:tab w:val="num" w:pos="4410"/>
        </w:tabs>
        <w:ind w:left="4410" w:hanging="360"/>
      </w:pPr>
      <w:rPr>
        <w:rFonts w:ascii="" w:hAnsi="" w:cs="" w:hint="default"/>
      </w:rPr>
    </w:lvl>
  </w:abstractNum>
  <w:abstractNum w:abstractNumId="128">
    <w:nsid w:val="36EB78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9">
    <w:nsid w:val="2F308E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0">
    <w:nsid w:val="84C9022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1">
    <w:nsid w:val="3E2D8B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2">
    <w:nsid w:val="D58580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3">
    <w:nsid w:val="3BB591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4">
    <w:nsid w:val="5C1A1F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5">
    <w:nsid w:val="20FFB1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6">
    <w:nsid w:val="7DEE4C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7">
    <w:nsid w:val="12342C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outlineLvl w:val="0"/>
      <w:spacing w:line="360" w:lineRule="auto"/>
    </w:pPr>
    <w:rPr>
      <w:color w:val="000000"/>
      <w:sz w:val="48"/>
      <w:szCs w:val="48"/>
      <w:u w:val=""/>
    </w:rPr>
  </w:style>
  <w:style w:type="paragraph" w:styleId="Heading2">
    <w:link w:val="Heading2Char"/>
    <w:name w:val="heading 2"/>
    <w:basedOn w:val="Normal"/>
    <w:pPr>
      <w:outlineLvl w:val="1"/>
      <w:spacing w:line="360" w:lineRule="auto"/>
    </w:pPr>
    <w:rPr>
      <w:color w:val="000000"/>
      <w:sz w:val="40"/>
      <w:szCs w:val="40"/>
      <w:u w:val=""/>
    </w:rPr>
  </w:style>
  <w:style w:type="paragraph" w:styleId="Heading3">
    <w:link w:val="Heading3Char"/>
    <w:name w:val="heading 3"/>
    <w:basedOn w:val="Normal"/>
    <w:pPr>
      <w:outlineLvl w:val="2"/>
      <w:spacing w:line="360" w:lineRule="auto"/>
    </w:pPr>
    <w:rPr>
      <w:color w:val="000000"/>
      <w:sz w:val="32"/>
      <w:szCs w:val="32"/>
      <w:u w:val=""/>
    </w:rPr>
  </w:style>
  <w:style w:type="paragraph" w:styleId="Heading4">
    <w:link w:val="Heading4Char"/>
    <w:name w:val="heading 4"/>
    <w:basedOn w:val="Normal"/>
    <w:pPr>
      <w:outlineLvl w:val="3"/>
      <w:spacing w:line="360" w:lineRule="auto"/>
    </w:pPr>
    <w:rPr>
      <w:color w:val="000000"/>
      <w:sz w:val="24"/>
      <w:szCs w:val="24"/>
      <w:u w:val=""/>
    </w:rPr>
  </w:style>
  <w:style w:type="paragraph" w:styleId="Heading5">
    <w:link w:val="Heading5Char"/>
    <w:name w:val="heading 5"/>
    <w:basedOn w:val="Normal"/>
    <w:pPr>
      <w:outlineLvl w:val="4"/>
      <w:spacing w:line="360" w:lineRule="auto"/>
    </w:pPr>
    <w:rPr>
      <w:color w:val="555555"/>
      <w:sz w:val="22"/>
      <w:szCs w:val="22"/>
      <w:u w:v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comments" Target="comments.xml"/><Relationship Id="rId8" Type="http://schemas.microsoft.com/office/2011/relationships/commentsExtended" Target="commentsExtended.xml"/><Relationship Id="rId9" Type="http://schemas.microsoft.com/office/2011/relationships/people" Target="people.xml"/><Relationship Id="rId10" Type="http://schemas.openxmlformats.org/officeDocument/2006/relationships/hyperlink" Target="note-1" TargetMode="External"/><Relationship Id="rId11" Type="http://schemas.openxmlformats.org/officeDocument/2006/relationships/image" Target="media/11.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2022-11-15T12:38:03+00:00</dcterms:created>
  <dcterms:modified xsi:type="dcterms:W3CDTF">2022-11-15T12:38:03+00:00</dcterms:modified>
</cp:coreProperties>
</file>

<file path=docProps/custom.xml><?xml version="1.0" encoding="utf-8"?>
<Properties xmlns="http://schemas.openxmlformats.org/officeDocument/2006/custom-properties" xmlns:vt="http://schemas.openxmlformats.org/officeDocument/2006/docPropsVTypes"/>
</file>

<file path=synoDoc.xml>{"attachment":{"11":{"basename":"image2","ext":"png","fullname":"image2.png","height":123,"name":"a81312131bbabfe5f94b766fc6d43d18","path":"/volume1/@tmp/office_data_tmp_6963qt4ls6/YT{103}{120}M{122}E{121}MTM{120}Y{109}J{104}Y{109}Z{108}NWY5NGI3N{106}Z{109}Y{122}Z{107}NDN{107}MT{103}{61}","rotated":false,"size":347,"type":"image","width":92}},"comment":{"data":[],"format":1204,"version":0},"content":{"data":{"attrs":{"page_setup":{"bottom":2,"left":3,"orientation":"portrait","page_type":"a4","right":1.5,"top":2},"schema":7,"type":"document"},"content":[{"attrs":{},"type":"invisible"},{"attrs":{},"content":[{"attrs":{"lineHeight":"1.15","paddingBottom":"","paddingLeft":"0pt","paddingTop":"","textAlign":"center","textMark":[{"_":"font_size","value":"14pt"}]},"content":[{"attrs":{},"marks":[{"_":"font_size","value":"14pt"},{"_":"font_family","value":"Times New Roman"},{"_":"strong"}],"text":"ТРЕБОВАНИЯ","type":"text"}],"type":"paragraph"},{"attrs":{"lineHeight":"1","paddingBottom":"","paddingLeft":"0pt","paddingTop":"","textAlign":"center","textMark":[{"_":"font_size","value":"14pt"}]},"content":[{"attrs":{},"marks":[{"_":"font_size","value":"14pt"},{"_":"font_family","value":"Times New Roman"},{"_":"strong"}],"text":"по подготовке бизнес-плана и финансовой модели инвестиционного проекта, предоставляемым в Акционерное общество «Кавказ.РФ»","type":"text"}],"type":"paragraph"},{"attrs":{"lineHeight":"","paddingBottom":"","paddingLeft":"","paddingTop":"","textAlign":"","textMark":[{"_":"font_size","value":"14pt"}]},"content":[{"attrs":{},"marks":[{"_":"font_size","value":"14pt"}],"text":" ","type":"text"}],"type":"paragraph"},{"attrs":{},"content":[{"attrs":{"listMarks":[{"_":"font_size","value":"14pt"}]},"content":[{"attrs":{"lineHeight":"1","paddingBottom":"","paddingLeft":"18pt","paddingTop":"","textAlign":"center","textMark":[{"_":"font_size","value":"14pt"}]},"content":[{"attrs":{},"marks":[{"_":"font_size","value":"14pt"},{"_":"font_family","value":"Times New Roman"},{"_":"strong"}],"text":"Требования по подготовке бизнес-плана инвестиционного проекта, предоставляемого в Акционерное общество «Кавказ.РФ»","type":"text"}],"type":"paragraph"}],"type":"list_item"}],"type":"bullet_list"},{"attrs":{"lineHeight":"","paddingBottom":"","paddingLeft":"","paddingTop":"","textAlign":"","textMark":[{"_":"font_size","value":"14pt"}]},"content":[{"attrs":{},"marks":[{"_":"font_size","value":"14pt"}],"text":" ","type":"text"}],"type":"paragraph"},{"attrs":{"lineHeight":"1","paddingBottom":"","paddingLeft":"0pt","paddingTop":"","textAlign":"center","textMark":[{"_":"font_size","value":"14pt"}]},"content":[{"attrs":{},"marks":[{"_":"font_size","value":"14pt"},{"_":"font_family","value":"Times New Roman"},{"_":"strong"}],"text":"СТРУКТУРА БИЗНЕС-ПЛАНА","type":"text"}],"type":"paragraph"},{"attrs":{"lineHeight":"","paddingBottom":"","paddingLeft":"","paddingTop":"","textAlign":"","textMark":[{"_":"font_size","value":"14pt"}]},"content":[{"attrs":{},"marks":[{"_":"font_size","value":"14pt"}],"text":"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Roman"},{"_":"strong"}],"text":"Титульный лист бизнес-плана проекта","type":"text"}],"type":"paragraph"},{"attrs":{"order":1},"content":[{"attrs":{"listMarks":[{"_":"font_size","value":"14pt"}]},"content":[{"attrs":{"lineHeight":"1","paddingBottom":"","paddingLeft":"10.85pt","paddingTop":"","textAlign":"justify","textMark":[{"_":"font_size","value":"14pt"}]},"content":[{"attrs":{},"marks":[{"_":"font_size","value":"14pt"},{"_":"font_family","value":"Times New Roman"},{"_":"strong"}],"text":"Краткий обзор (резюме) проекта","type":"text"}],"type":"paragraph"}],"type":"list_item"},{"attrs":{"listMarks":[{"_":"font_size","value":"14pt"}]},"content":[{"attrs":{"lineHeight":"1","paddingBottom":"","paddingLeft":"10.85pt","paddingTop":"","textAlign":"justify","textMark":[{"_":"font_size","value":"14pt"}]},"content":[{"attrs":{},"marks":[{"_":"font_size","value":"14pt"},{"_":"font_family","value":"Times New Roman"},{"_":"strong"}],"text":"Инициатор проекта","type":"text"}],"type":"paragraph"},{"attrs":{"order":1},"content":[{"attrs":{"listMarks":[{"_":"font_size","value":"14pt"}]},"content":[{"attrs":{"lineHeight":"1","paddingBottom":"","paddingLeft":"46.85pt","paddingTop":"","textAlign":"justify","textMark":[{"_":"font_size","value":"14pt"}]},"content":[{"attrs":{},"marks":[{"_":"font_size","value":"14pt"},{"_":"font_family","value":"Times New Roman"}],"text":"Общие данные","type":"text"}],"type":"paragraph"}],"type":"list_item"},{"attrs":{"listMarks":[{"_":"font_size","value":"14pt"}]},"content":[{"attrs":{"lineHeight":"1","paddingBottom":"","paddingLeft":"46.85pt","paddingTop":"","textAlign":"justify","textMark":[{"_":"font_size","value":"14pt"}]},"content":[{"attrs":{},"marks":[{"_":"font_size","value":"14pt"},{"_":"font_family","value":"Times New Roman"}],"text":"Учредители (акционеры)","type":"text"}],"type":"paragraph"}],"type":"list_item"},{"attrs":{"listMarks":[{"_":"font_size","value":"14pt"}]},"content":[{"attrs":{"lineHeight":"1","paddingBottom":"","paddingLeft":"46.85pt","paddingTop":"","textAlign":"justify","textMark":[{"_":"font_size","value":"14pt"}]},"content":[{"attrs":{},"marks":[{"_":"font_size","value":"14pt"},{"_":"font_family","value":"Times New Roman"}],"text":"Виды и объемы деятельности","type":"text"}],"type":"paragraph"}],"type":"list_item"},{"attrs":{"listMarks":[{"_":"font_size","value":"14pt"}]},"content":[{"attrs":{"lineHeight":"1","paddingBottom":"","paddingLeft":"46.85pt","paddingTop":"","textAlign":"justify","textMark":[{"_":"font_size","value":"14pt"}]},"content":[{"attrs":{},"marks":[{"_":"font_size","value":"14pt"},{"_":"font_family","value":"Times New Roman"}],"text":"Финансовое состояние","type":"text"}],"type":"paragraph"}],"type":"list_item"},{"attrs":{"listMarks":[{"_":"font_size","value":"14pt"}]},"content":[{"attrs":{"lineHeight":"1","paddingBottom":"","paddingLeft":"46.85pt","paddingTop":"","textAlign":"justify","textMark":[{"_":"font_size","value":"14pt"}]},"content":[{"attrs":{},"marks":[{"_":"font_size","value":"14pt"},{"_":"font_family","value":"Times New Roman"}],"text":"Информация о руководителях","type":"text"}],"type":"paragraph"}],"type":"list_item"}],"type":"ordered_list"}],"type":"list_item"},{"attrs":{"listMarks":[{"_":"font_size","value":"14pt"}]},"content":[{"attrs":{"lineHeight":"1","paddingBottom":"","paddingLeft":"10.85pt","paddingTop":"","textAlign":"justify","textMark":[{"_":"font_size","value":"14pt"}]},"content":[{"attrs":{},"marks":[{"_":"font_size","value":"14pt"},{"_":"font_family","value":"Times New Roman"},{"_":"strong"}],"text":"Существо предлагаемого проекта ","type":"text"}],"type":"paragraph"},{"attrs":{"order":1},"content":[{"attrs":{"listMarks":[{"_":"font_size","value":"14pt"}]},"content":[{"attrs":{"lineHeight":"1","paddingBottom":"","paddingLeft":"46.85pt","paddingTop":"","textAlign":"justify","textMark":[{"_":"font_size","value":"14pt"}]},"content":[{"attrs":{},"marks":[{"_":"font_size","value":"14pt"},{"_":"font_family","value":"Times New Roman"}],"text":"Местонахождение объекта","type":"text"}],"type":"paragraph"}],"type":"list_item"},{"attrs":{"listMarks":[{"_":"font_size","value":"14pt"}]},"content":[{"attrs":{"lineHeight":"1","paddingBottom":"","paddingLeft":"46.85pt","paddingTop":"","textAlign":"justify","textMark":[{"_":"font_size","value":"14pt"}]},"content":[{"attrs":{},"marks":[{"_":"font_size","value":"14pt"},{"_":"font_family","value":"Times New Roman"}],"text":"Описание продукта (услуги)","type":"text"}],"type":"paragraph"}],"type":"list_item"},{"attrs":{"listMarks":[{"_":"font_size","value":"14pt"}]},"content":[{"attrs":{"lineHeight":"1","paddingBottom":"","paddingLeft":"46.85pt","paddingTop":"","textAlign":"justify","textMark":[{"_":"font_size","value":"14pt"}]},"content":[{"attrs":{},"marks":[{"_":"font_size","value":"14pt"},{"_":"font_family","value":"Times New Roman"}],"text":"Технология производства продукта (оказания услуги)","type":"text"}],"type":"paragraph"}],"type":"list_item"},{"attrs":{"listMarks":[{"_":"font_size","value":"14pt"}]},"content":[{"attrs":{"lineHeight":"1","paddingBottom":"","paddingLeft":"46.85pt","paddingTop":"","textAlign":"justify","textMark":[{"_":"font_size","value":"14pt"}]},"content":[{"attrs":{},"marks":[{"_":"font_size","value":"14pt"},{"_":"font_family","value":"Times New Roman"}],"text":"Характеристики закупаемого оборудования (техники)","type":"text"}],"type":"paragraph"}],"type":"list_item"}],"type":"ordered_list"}],"type":"list_item"},{"attrs":{"listMarks":[{"_":"font_size","value":"14pt"}]},"content":[{"attrs":{"lineHeight":"1","paddingBottom":"","paddingLeft":"10.85pt","paddingTop":"","textAlign":"justify","textMark":[{"_":"font_size","value":"14pt"}]},"content":[{"attrs":{},"marks":[{"_":"font_size","value":"14pt"},{"_":"font_family","value":"Times New Roman"},{"_":"strong"}],"text":"Анализ рынков сбыта продукции и закупок сырья","type":"text"}],"type":"paragraph"},{"attrs":{"order":1},"content":[{"attrs":{"listMarks":[{"_":"font_size","value":"14pt"}]},"content":[{"attrs":{"lineHeight":"1","paddingBottom":"","paddingLeft":"46.85pt","paddingTop":"","textAlign":"justify","textMark":[{"_":"font_size","value":"14pt"}]},"content":[{"attrs":{},"marks":[{"_":"font_size","value":"14pt"},{"_":"font_family","value":"Times New Roman"}],"text":"Рынок сырья, материалов и комплектующих","type":"text"}],"type":"paragraph"}],"type":"list_item"},{"attrs":{"listMarks":[{"_":"font_size","value":"14pt"}]},"content":[{"attrs":{"lineHeight":"1","paddingBottom":"","paddingLeft":"46.85pt","paddingTop":"","textAlign":"justify","textMark":[{"_":"font_size","value":"14pt"}]},"content":[{"attrs":{},"marks":[{"_":"font_size","value":"14pt"},{"_":"font_family","value":"Times New Roman"}],"text":"Конкуренция на рынке сбыта","type":"text"}],"type":"paragraph"}],"type":"list_item"},{"attrs":{"listMarks":[{"_":"font_size","value":"14pt"}]},"content":[{"attrs":{"lineHeight":"1","paddingBottom":"","paddingLeft":"46.85pt","paddingTop":"","textAlign":"justify","textMark":[{"_":"font_size","value":"14pt"}]},"content":[{"attrs":{},"marks":[{"_":"font_size","value":"14pt"},{"_":"font_family","value":"Times New Roman"}],"text":"Потенциальная емкость рынка сбыта","type":"text"}],"type":"paragraph"}],"type":"list_item"}],"type":"ordered_list"}],"type":"list_item"},{"attrs":{"listMarks":[{"_":"font_size","value":"14pt"}]},"content":[{"attrs":{"lineHeight":"1","paddingBottom":"","paddingLeft":"10.85pt","paddingTop":"","textAlign":"justify","textMark":[{"_":"font_size","value":"14pt"}]},"content":[{"attrs":{},"marks":[{"_":"font_size","value":"14pt"},{"_":"font_family","value":"Times New Roman"},{"_":"strong"}],"text":"План продаж и стратегия маркетинга","type":"text"}],"type":"paragraph"}],"type":"list_item"},{"attrs":{"listMarks":[{"_":"font_size","value":"14pt"}]},"content":[{"attrs":{"lineHeight":"1","paddingBottom":"","paddingLeft":"10.85pt","paddingTop":"","textAlign":"justify","textMark":[{"_":"font_size","value":"14pt"}]},"content":[{"attrs":{},"marks":[{"_":"font_size","value":"14pt"},{"_":"font_family","value":"Times New Roman"},{"_":"strong"}],"text":"Анализ доступности ресурсов","type":"text"}],"type":"paragraph"}],"type":"list_item"},{"attrs":{"listMarks":[{"_":"font_size","value":"14pt"}]},"content":[{"attrs":{"lineHeight":"1","paddingBottom":"","paddingLeft":"10.85pt","paddingTop":"","textAlign":"justify","textMark":[{"_":"font_size","value":"14pt"}]},"content":[{"attrs":{},"marks":[{"_":"font_size","value":"14pt"},{"_":"font_family","value":"Times New Roman"},{"_":"strong"}],"text":"Воздействие на окружающую среду и устойчивое развитие","type":"text"}],"type":"paragraph"}],"type":"list_item"},{"attrs":{"listMarks":[{"_":"font_size","value":"14pt"}]},"content":[{"attrs":{"lineHeight":"1","paddingBottom":"","paddingLeft":"10.85pt","paddingTop":"","textAlign":"justify","textMark":[{"_":"font_size","value":"14pt"}]},"content":[{"attrs":{},"marks":[{"_":"font_size","value":"14pt"},{"_":"font_family","value":"Times New Roman"},{"_":"strong"}],"text":"Организационный план","type":"text"}],"type":"paragraph"},{"attrs":{"order":1},"content":[{"attrs":{"listMarks":[{"_":"font_size","value":"14pt"}]},"content":[{"attrs":{"lineHeight":"1","paddingBottom":"","paddingLeft":"46.85pt","paddingTop":"","textAlign":"justify","textMark":[{"_":"font_size","value":"14pt"}]},"content":[{"attrs":{},"marks":[{"_":"font_size","value":"14pt"},{"_":"font_family","value":"Times New Roman"}],"text":"Организационно-правовая форма реализации проекта","type":"text"}],"type":"paragraph"}],"type":"list_item"},{"attrs":{"listMarks":[{"_":"font_size","value":"14pt"}]},"content":[{"attrs":{"lineHeight":"1","paddingBottom":"","paddingLeft":"46.85pt","paddingTop":"","textAlign":"justify","textMark":[{"_":"font_size","value":"14pt"}]},"content":[{"attrs":{},"marks":[{"_":"font_size","value":"14pt"},{"_":"font_family","value":"Times New Roman"}],"text":"Основные партнеры","type":"text"}],"type":"paragraph"}],"type":"list_item"},{"attrs":{"listMarks":[{"_":"font_size","value":"14pt"}]},"content":[{"attrs":{"lineHeight":"1","paddingBottom":"","paddingLeft":"46.85pt","paddingTop":"","textAlign":"justify","textMark":[{"_":"font_size","value":"14pt"}]},"content":[{"attrs":{},"marks":[{"_":"font_size","value":"14pt"},{"_":"font_family","value":"Times New Roman"}],"text":"График реализации проекта","type":"text"}],"type":"paragraph"}],"type":"list_item"},{"attrs":{"listMarks":[{"_":"font_size","value":"14pt"}]},"content":[{"attrs":{"lineHeight":"1","paddingBottom":"","paddingLeft":"46.85pt","paddingTop":"","textAlign":"justify","textMark":[{"_":"font_size","value":"14pt"}]},"content":[{"attrs":{},"marks":[{"_":"font_size","value":"14pt"},{"_":"font_family","value":"Times New Roman"}],"text":"Правовые вопросы осуществления проекта","type":"text"}],"type":"paragraph"}],"type":"list_item"}],"type":"ordered_list"}],"type":"list_item"},{"attrs":{"listMarks":[{"_":"font_size","value":"14pt"}]},"content":[{"attrs":{"lineHeight":"1","paddingBottom":"","paddingLeft":"10.85pt","paddingTop":"","textAlign":"justify","textMark":[{"_":"font_size","value":"14pt"}]},"content":[{"attrs":{},"marks":[{"_":"font_size","value":"14pt"},{"_":"font_family","value":"Times New Roman"},{"_":"strong"}],"text":"План производства","type":"text"}],"type":"paragraph"}],"type":"list_item"},{"attrs":{"listMarks":[{"_":"font_size","value":"14pt"}]},"content":[{"attrs":{"lineHeight":"1","paddingBottom":"","paddingLeft":"10.85pt","paddingTop":"","textAlign":"justify","textMark":[{"_":"font_size","value":"14pt"}]},"content":[{"attrs":{},"marks":[{"_":"font_size","value":"14pt"},{"_":"font_family","value":"Times New Roman"},{"_":"strong"}],"text":"Финансовый план","type":"text"}],"type":"paragraph"},{"attrs":{"order":1},"content":[{"attrs":{"listMarks":[{"_":"font_size","value":"14pt"}]},"content":[{"attrs":{"lineHeight":"1","paddingBottom":"","paddingLeft":"46.85pt","paddingTop":"","textAlign":"justify","textMark":[{"_":"font_size","value":"14pt"}]},"content":[{"attrs":{},"marks":[{"_":"font_size","value":"14pt"},{"_":"font_family","value":"Times New Roman"}],"text":"Условия и допущения, принятые для расчета","type":"text"}],"type":"paragraph"}],"type":"list_item"},{"attrs":{"listMarks":[{"_":"font_size","value":"14pt"}]},"content":[{"attrs":{"lineHeight":"1","paddingBottom":"","paddingLeft":"46.85pt","paddingTop":"","textAlign":"justify","textMark":[{"_":"font_size","value":"14pt"}]},"content":[{"attrs":{},"marks":[{"_":"font_size","value":"14pt"},{"_":"font_family","value":"Times New Roman"}],"text":"Исходные данные","type":"text"}],"type":"paragraph"},{"attrs":{"order":1},"content":[{"attrs":{"listMarks":[{"_":"font_size","value":"14pt"}]},"content":[{"attrs":{"lineHeight":"1","paddingBottom":"","paddingLeft":"82.85pt","paddingTop":"","textAlign":"justify","textMark":[{"_":"font_size","value":"14pt"}]},"content":[{"attrs":{},"marks":[{"_":"font_size","value":"14pt"},{"_":"font_family","value":"Times New Roman"}],"text":"Налоговое окружение","type":"text"}],"type":"paragraph"}],"type":"list_item"},{"attrs":{"listMarks":[{"_":"font_size","value":"14pt"}]},"content":[{"attrs":{"lineHeight":"1","paddingBottom":"","paddingLeft":"82.85pt","paddingTop":"","textAlign":"justify","textMark":[{"_":"font_size","value":"14pt"}]},"content":[{"attrs":{},"marks":[{"_":"font_size","value":"14pt"},{"_":"font_family","value":"Times New Roman"}],"text":"Номенклатура и цены продукции (услуг)","type":"text"}],"type":"paragraph"}],"type":"list_item"},{"attrs":{"listMarks":[{"_":"font_size","value":"14pt"}]},"content":[{"attrs":{"lineHeight":"1","paddingBottom":"","paddingLeft":"82.85pt","paddingTop":"","textAlign":"justify","textMark":[{"_":"font_size","value":"14pt"}]},"content":[{"attrs":{},"marks":[{"_":"font_size","value":"14pt"},{"_":"font_family","value":"Times New Roman"}],"text":"План производства","type":"text"}],"type":"paragraph"}],"type":"list_item"},{"attrs":{"listMarks":[{"_":"font_size","value":"14pt"}]},"content":[{"attrs":{"lineHeight":"1","paddingBottom":"","paddingLeft":"82.85pt","paddingTop":"","textAlign":"justify","textMark":[{"_":"font_size","value":"14pt"}]},"content":[{"attrs":{},"marks":[{"_":"font_size","value":"14pt"},{"_":"font_family","value":"Times New Roman"}],"text":"Номенклатура и цены сырья, материалов и пр.","type":"text"}],"type":"paragraph"}],"type":"list_item"},{"attrs":{"listMarks":[{"_":"font_size","value":"14pt"}]},"content":[{"attrs":{"lineHeight":"1","paddingBottom":"","paddingLeft":"82.85pt","paddingTop":"","textAlign":"justify","textMark":[{"_":"font_size","value":"14pt"}]},"content":[{"attrs":{},"marks":[{"_":"font_size","value":"14pt"},{"_":"font_family","value":"Times New Roman"}],"text":"Калькуляция прямых материальных затрат","type":"text"}],"type":"paragraph"}],"type":"list_item"},{"attrs":{"listMarks":[{"_":"font_size","value":"14pt"}]},"content":[{"attrs":{"lineHeight":"1","paddingBottom":"","paddingLeft":"82.85pt","paddingTop":"","textAlign":"justify","textMark":[{"_":"font_size","value":"14pt"}]},"content":[{"attrs":{},"marks":[{"_":"font_size","value":"14pt"},{"_":"font_family","value":"Times New Roman"}],"text":"Численность персонала и заработная плата","type":"text"}],"type":"paragraph"}],"type":"list_item"},{"attrs":{"listMarks":[{"_":"font_size","value":"14pt"}]},"content":[{"attrs":{"lineHeight":"1","paddingBottom":"","paddingLeft":"82.85pt","paddingTop":"","textAlign":"justify","textMark":[{"_":"font_size","value":"14pt"}]},"content":[{"attrs":{},"marks":[{"_":"font_size","value":"14pt"},{"_":"font_family","value":"Times New Roman"}],"text":"Накладные расходы","type":"text"}],"type":"paragraph"}],"type":"list_item"},{"attrs":{"listMarks":[{"_":"font_size","value":"14pt"}]},"content":[{"attrs":{"lineHeight":"1","paddingBottom":"","paddingLeft":"82.85pt","paddingTop":"","textAlign":"justify","textMark":[{"_":"font_size","value":"14pt"}]},"content":[{"attrs":{},"marks":[{"_":"font_size","value":"14pt"},{"_":"font_family","value":"Times New Roman"}],"text":"Капитальные затраты и амортизация","type":"text"}],"type":"paragraph"}],"type":"list_item"},{"attrs":{"listMarks":[{"_":"font_size","value":"14pt"}]},"content":[{"attrs":{"lineHeight":"1","paddingBottom":"","paddingLeft":"82.85pt","paddingTop":"","textAlign":"justify","textMark":[{"_":"font_size","value":"14pt"}]},"content":[{"attrs":{},"marks":[{"_":"font_size","value":"14pt"},{"_":"font_family","value":"Times New Roman"}],"text":"Обоснование потребности в оборотном капитале","type":"text"}],"type":"paragraph"}],"type":"list_item"}],"type":"ordered_list"}],"type":"list_item"},{"attrs":{"listMarks":[{"_":"font_size","value":"14pt"}]},"content":[{"attrs":{"lineHeight":"1","paddingBottom":"","paddingLeft":"46.85pt","paddingTop":"","textAlign":"justify","textMark":[{"_":"font_size","value":"14pt"}]},"content":[{"attrs":{},"marks":[{"_":"font_size","value":"14pt"},{"_":"font_family","value":"Times New Roman"}],"text":"Расчет прибыли, убытков и денежных потоков","type":"text"}],"type":"paragraph"}],"type":"list_item"},{"attrs":{"listMarks":[{"_":"font_size","value":"14pt"}]},"content":[{"attrs":{"lineHeight":"1","paddingBottom":"","paddingLeft":"46.85pt","paddingTop":"","textAlign":"justify","textMark":[{"_":"font_size","value":"14pt"}]},"content":[{"attrs":{},"marks":[{"_":"font_size","value":"14pt"},{"_":"font_family","value":"Times New Roman"}],"text":"Оценка экономической эффективности проекта","type":"text"}],"type":"paragraph"}],"type":"list_item"}],"type":"ordered_list"}],"type":"list_item"},{"attrs":{"listMarks":[{"_":"font_size","value":"14pt"}]},"content":[{"attrs":{"lineHeight":"1","paddingBottom":"","paddingLeft":"10.85pt","paddingTop":"","textAlign":"justify","textMark":[{"_":"font_size","value":"14pt"}]},"content":[{"attrs":{},"marks":[{"_":"font_size","value":"14pt"},{"_":"font_family","value":"Times New Roman"},{"_":"strong"}],"text":"План финансирования","type":"text"}],"type":"paragraph"}],"type":"list_item"},{"attrs":{"listMarks":[{"_":"font_size","value":"14pt"}]},"content":[{"attrs":{"lineHeight":"1","paddingBottom":"","paddingLeft":"10.85pt","paddingTop":"","textAlign":"justify","textMark":[{"_":"font_size","value":"14pt"}]},"content":[{"attrs":{},"marks":[{"_":"font_size","value":"14pt"},{"_":"font_family","value":"Times New Roman"},{"_":"strong"}],"text":"Оценка и анализ проектных рисков","type":"text"}],"type":"paragraph"},{"attrs":{"order":1},"content":[{"attrs":{"listMarks":[{"_":"font_size","value":"14pt"}]},"content":[{"attrs":{"lineHeight":"1","paddingBottom":"","paddingLeft":"46.85pt","paddingTop":"","textAlign":"justify","textMark":[{"_":"font_size","value":"14pt"}]},"content":[{"attrs":{},"marks":[{"_":"font_size","value":"14pt"},{"_":"font_family","value":"Times New Roman"}],"text":"Анализ чувствительности","type":"text"}],"type":"paragraph"}],"type":"list_item"},{"attrs":{"listMarks":[{"_":"font_size","value":"14pt"}]},"content":[{"attrs":{"lineHeight":"1","paddingBottom":"","paddingLeft":"46.85pt","paddingTop":"","textAlign":"justify","textMark":[{"_":"font_size","value":"14pt"}]},"content":[{"attrs":{},"marks":[{"_":"font_size","value":"14pt"},{"_":"font_family","value":"Times New Roman"}],"text":"Оценка проектных рисков","type":"text"}],"type":"paragraph"}],"type":"list_item"}],"type":"ordered_list"}],"type":"list_item"},{"attrs":{"listMarks":[{"_":"font_size","value":"14pt"}]},"content":[{"attrs":{"lineHeight":"1","paddingBottom":"","paddingLeft":"10.85pt","paddingTop":"","textAlign":"justify","textMark":[{"_":"font_size","value":"14pt"}]},"content":[{"attrs":{},"marks":[{"_":"font_size","value":"14pt"},{"_":"font_family","value":"Times New Roman"},{"_":"strong"}],"text":"Обеспечение","type":"text"}],"type":"paragraph"}],"type":"list_item"}],"type":"ordered_list"},{"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Roman"}],"text":"Для оформления бизнес-плана использовать приводимое ниже его описание с комментариями.","type":"text"}],"type":"paragraph"},{"attrs":{"lineHeight":"","paddingBottom":"","paddingLeft":"","paddingTop":"","textAlign":"","textMark":[{"_":"font_size","value":"14pt"}]},"content":[{"attrs":{},"marks":[{"_":"font_size","value":"14pt"}],"text":" ","type":"text"}],"type":"paragraph"},{"attrs":{"lineHeight":"1","paddingBottom":"","paddingLeft":"0pt","paddingTop":"","textAlign":"center","textIndent":true,"textMark":[{"_":"font_size","value":"14pt"}]},"content":[{"attrs":{},"marks":[{"_":"font_size","value":"14pt"},{"_":"font_family","value":"Times New Roman"},{"_":"strong"}],"text":"ТИТУЛЬНЫЙ ЛИСТ БИЗНЕС-ПЛАНА ПРОЕКТА","type":"text"}],"type":"paragraph"},{"attrs":{"lineHeight":"","paddingBottom":"","paddingLeft":"","paddingTop":"","textAlign":"","textMark":[{"_":"font_size","value":"14pt"}]},"content":[{"attrs":{},"marks":[{"_":"font_size","value":"14pt"}],"text":"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Roman"}],"text":"Наименование предприятия – инициатора проекта.","type":"text"}],"type":"paragraph"},{"attrs":{"lineHeight":"1","paddingBottom":"","paddingLeft":"0pt","paddingTop":"","textAlign":"justify","textIndent":true,"textMark":[{"_":"font_size","value":"14pt"}]},"content":[{"attrs":{},"marks":[{"_":"font_size","value":"14pt"},{"_":"font_family","value":"Times New Roman"}],"text":"Наименование проекта.","type":"text"}],"type":"paragraph"},{"attrs":{"lineHeight":"1","paddingBottom":"","paddingLeft":"0pt","paddingTop":"","textAlign":"justify","textIndent":true,"textMark":[{"_":"font_size","value":"14pt"}]},"content":[{"attrs":{},"marks":[{"_":"font_size","value":"14pt"},{"_":"font_family","value":"Times New Roman"}],"text":"Утверждающая подпись руководителя предприятия – инициатора проекта. Год и месяц составления бизнес-плана.","type":"text"}],"type":"paragraph"},{"attrs":{"lineHeight":"","paddingBottom":"","paddingLeft":"","paddingTop":"","textAlign":"","textMark":[{"_":"font_size","value":"14pt"}]},"content":[{"attrs":{},"marks":[{"_":"font_size","value":"14pt"}],"text":" ","type":"text"}],"type":"paragraph"},{"attrs":{"order":1},"content":[{"attrs":{"listMarks":[{"_":"font_size","value":"14pt"}]},"content":[{"attrs":{"lineHeight":"1","paddingBottom":"","paddingLeft":"18pt","paddingTop":"","textAlign":"center","textMark":[{"_":"font_size","value":"14pt"}]},"content":[{"attrs":{},"marks":[{"_":"font_size","value":"14pt"},{"_":"font_family","value":"Times New Roman"},{"_":"strong"}],"text":"Краткий обзор (резюме) проекта","type":"text"}],"type":"paragraph"}],"type":"list_item"}],"type":"ordered_list"},{"attrs":{"lineHeight":"1","paddingBottom":"","paddingLeft":"0pt","paddingTop":"","textAlign":"center","textMark":[{"_":"font_size","value":"14pt"}]},"content":[{"attrs":{},"marks":[{"_":"font_size","value":"14pt"},{"_":"font_family","value":"Times New Roman"}],"text":"(основные положения бизнес-плана для представления руководству АО «Кавказ.РФ»)","type":"text"}],"type":"paragraph"},{"attrs":{"lineHeight":"","paddingBottom":"","paddingLeft":"","paddingTop":"","textAlign":"","textMark":[{"_":"font_size","value":"14pt"}]},"content":[{"attrs":{},"marks":[{"_":"font_size","value":"14pt"}],"text":"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Roman"}],"text":"Наименование проекта. Инициатор проекта.","type":"text"}],"type":"paragraph"},{"attrs":{"lineHeight":"1","paddingBottom":"","paddingLeft":"0pt","paddingTop":"","textAlign":"justify","textIndent":true,"textMark":[{"_":"font_size","value":"14pt"}]},"content":[{"attrs":{},"marks":[{"_":"font_size","value":"14pt"},{"_":"font_family","value":"Times New Roman"}],"text":"Местонахождение проекта.","type":"text"}],"type":"paragraph"},{"attrs":{"lineHeight":"1","paddingBottom":"","paddingLeft":"0pt","paddingTop":"","textAlign":"justify","textIndent":true,"textMark":[{"_":"font_size","value":"14pt"}]},"content":[{"attrs":{},"marks":[{"_":"font_size","value":"14pt"},{"_":"font_family","value":"Times New Roman"}],"text":"Организационно-правовая форма реализации проекта. ","type":"text"}],"type":"paragraph"},{"attrs":{"lineHeight":"1","paddingBottom":"","paddingLeft":"0pt","paddingTop":"","textAlign":"justify","textIndent":true,"textMark":[{"_":"font_size","value":"14pt"}]},"content":[{"attrs":{},"marks":[{"_":"font_size","value":"14pt"},{"_":"font_family","value":"Times New Roman"},{"_":"strong"}],"text":"Суть проекта:","type":"text"}],"type":"paragraph"},{"attrs":{},"content":[{"attrs":{"listMarks":[{"_":"font_size","value":"14pt"}]},"content":[{"attrs":{"lineHeight":"1","paddingBottom":"","paddingLeft":"54pt","paddingTop":"","textAlign":"justify","textMark":[{"_":"font_size","value":"14pt"}]},"content":[{"attrs":{},"marks":[{"_":"font_size","value":"14pt"},{"_":"font_family","value":"Times New Roman"}],"text":"цель проекта: объем продаж (доля рынка), прибыль (рентабельность), которые планируется достигнуть;","type":"text"}],"type":"paragraph"}],"type":"list_item"},{"attrs":{"listMarks":[{"_":"font_size","value":"14pt"}]},"content":[{"attrs":{"lineHeight":"1","paddingBottom":"","paddingLeft":"54pt","paddingTop":"","textAlign":"justify","textMark":[{"_":"font_size","value":"14pt"}]},"content":[{"attrs":{},"marks":[{"_":"font_size","value":"14pt"},{"_":"font_family","value":"Times New Roman"}],"text":"тип проекта: модернизация оборудования, реконструкция, новое строительство;","type":"text"}],"type":"paragraph"}],"type":"list_item"},{"attrs":{"listMarks":[{"_":"font_size","value":"14pt"}]},"content":[{"attrs":{"lineHeight":"1","paddingBottom":"","paddingLeft":"54pt","paddingTop":"","textAlign":"justify","textMark":[{"_":"font_size","value":"14pt"}]},"content":[{"attrs":{},"marks":[{"_":"font_size","value":"14pt"},{"_":"font_family","value":"Times New Roman"}],"text":"способ достижения цели: снижение себестоимости производства выпускаемой продукции, расширение действующего производства, разработка и выпуск новой конкурентоспособной продукции, освоение новой технологии производства (инновации), выход на новые рынки сбыта и т.п.","type":"text"}],"type":"paragraph"}],"type":"list_item"}],"type":"bullet_list"},{"attrs":{"lineHeight":"1","paddingBottom":"","paddingLeft":"0pt","paddingTop":"","textAlign":"justify","textIndent":true,"textMark":[{"_":"font_size","value":"14pt"}]},"content":[{"attrs":{},"marks":[{"_":"font_size","value":"14pt"},{"_":"font_family","value":"Times New Roman"}],"text":"С","type":"text"},{"attrs":{},"marks":[{"_":"font_size","value":"14pt"},{"_":"font_family","value":"Times New Roman"},{"_":"strong"}],"text":"роки и этапы реализации проекта, в том числе выполненные работы по проекту. ","type":"text"},{"attrs":{},"marks":[{"_":"font_size","value":"14pt"},{"_":"font_family","value":"Times New Roman"}],"text":"Финансовые ресурсы, необходимые для осуществления проекта:","type":"text"}],"type":"paragraph"},{"attrs":{},"content":[{"attrs":{"listMarks":[{"_":"font_size","value":"14pt"}]},"content":[{"attrs":{"lineHeight":"1","paddingBottom":"","paddingLeft":"54pt","paddingTop":"","textAlign":"justify","textMark":[{"_":"font_size","value":"14pt"}]},"content":[{"attrs":{},"marks":[{"_":"font_size","value":"14pt"},{"_":"font_family","value":"Times New Roman"}],"text":"общая стоимость проекта; объем выполненных работ; потребность ","type":"text"},{"attrs":{},"marks":[{"_":"font_size","value":"14pt"}],"type":"hard_break"},{"attrs":{},"marks":[{"_":"font_size","value":"14pt"},{"_":"font_family","value":"Times New Roman"}],"text":"в финансировании.","type":"text"}],"type":"paragraph"}],"type":"list_item"}],"type":"bullet_list"},{"attrs":{"lineHeight":"1","paddingBottom":"","paddingLeft":"0pt","paddingTop":"","textAlign":"justify","textIndent":true,"textMark":[{"_":"font_size","value":"14pt"}]},"content":[{"attrs":{},"marks":[{"_":"font_size","value":"14pt"},{"_":"font_family","value":"Times New Roman"},{"_":"strong"}],"text":"Схема финансирования","type":"text"},{"attrs":{},"marks":[{"_":"font_size","value":"14pt"},{"_":"font_family","value":"Times New Roman"}],"text":":","type":"text"}],"type":"paragraph"},{"attrs":{},"content":[{"attrs":{"listMarks":[{"_":"font_size","value":"14pt"}]},"content":[{"attrs":{"lineHeight":"1","paddingBottom":"","paddingLeft":"54pt","paddingTop":"","textAlign":"justify","textMark":[{"_":"font_size","value":"14pt"}]},"content":[{"attrs":{},"marks":[{"_":"font_size","value":"14pt"},{"_":"font_family","value":"Times New Roman"}],"text":"соотношение собственных и заемных средств; объем кредита;","type":"text"}],"type":"paragraph"}],"type":"list_item"},{"attrs":{"listMarks":[{"_":"font_size","value":"14pt"}]},"content":[{"attrs":{"lineHeight":"1","paddingBottom":"","paddingLeft":"54pt","paddingTop":"","textAlign":"justify","textMark":[{"_":"font_size","value":"14pt"}]},"content":[{"attrs":{},"marks":[{"_":"font_size","value":"14pt"},{"_":"font_family","value":"Times New Roman"}],"text":"процентная ставка;","type":"text"}],"type":"paragraph"}],"type":"list_item"},{"attrs":{"listMarks":[{"_":"font_size","value":"14pt"}]},"content":[{"attrs":{"lineHeight":"1","paddingBottom":"","paddingLeft":"54pt","paddingTop":"","textAlign":"justify","textMark":[{"_":"font_size","value":"14pt"}]},"content":[{"attrs":{},"marks":[{"_":"font_size","value":"14pt"},{"_":"font_family","value":"Times New Roman"}],"text":"график предоставления и возврата кредита.","type":"text"}],"type":"paragraph"}],"type":"list_item"}],"type":"bullet_list"},{"attrs":{"lineHeight":"1","paddingBottom":"","paddingLeft":"0pt","paddingTop":"","textAlign":"justify","textIndent":true,"textMark":[{"_":"font_size","value":"14pt"}]},"content":[{"attrs":{},"marks":[{"_":"font_size","value":"14pt"},{"_":"font_family","value":"Times New Roman"},{"_":"strong"}],"text":"Оценка экономической эффективности проекта","type":"text"},{"attrs":{},"marks":[{"_":"font_size","value":"14pt"},{"_":"font_family","value":"Times New Roman"}],"text":":","type":"text"}],"type":"paragraph"},{"attrs":{},"content":[{"attrs":{"listMarks":[{"_":"font_size","value":"14pt"}]},"content":[{"attrs":{"lineHeight":"1","paddingBottom":"","paddingLeft":"54pt","paddingTop":"","textAlign":"justify","textMark":[{"_":"font_size","value":"14pt"}]},"content":[{"attrs":{},"marks":[{"_":"font_size","value":"14pt"},{"_":"font_family","value":"Times New Roman"}],"text":"срок окупаемости – PBP;","type":"text"}],"type":"paragraph"}],"type":"list_item"},{"attrs":{"listMarks":[{"_":"font_size","value":"14pt"}]},"content":[{"attrs":{"lineHeight":"1","paddingBottom":"","paddingLeft":"54pt","paddingTop":"","textAlign":"justify","textMark":[{"_":"font_size","value":"14pt"}]},"content":[{"attrs":{},"marks":[{"_":"font_size","value":"14pt"},{"_":"font_family","value":"Times New Roman"}],"text":"принятая ставка дисконтирования - D;","type":"text"}],"type":"paragraph"}],"type":"list_item"},{"attrs":{"listMarks":[{"_":"font_size","value":"14pt"}]},"content":[{"attrs":{"lineHeight":"1","paddingBottom":"","paddingLeft":"54pt","paddingTop":"","textAlign":"justify","textMark":[{"_":"font_size","value":"14pt"}]},"content":[{"attrs":{},"marks":[{"_":"font_size","value":"14pt"},{"_":"font_family","value":"Times New Roman"}],"text":"дисконтированный срок окупаемости – DPBP; чистая приведенная стоимость – NPV; внутренняя норма доходности – IRR;","type":"text"}],"type":"paragraph"}],"type":"list_item"},{"attrs":{"listMarks":[{"_":"font_size","value":"14pt"}]},"content":[{"attrs":{"lineHeight":"1","paddingBottom":"","paddingLeft":"54pt","paddingTop":"","textAlign":"justify","textMark":[{"_":"font_size","value":"14pt"}]},"content":[{"attrs":{},"marks":[{"_":"font_size","value":"14pt"},{"_":"font_family","value":"Times New Roman"}],"text":"точка безубыточности проекта – BEP; срок возврата заемных средств – RP;","type":"text"}],"type":"paragraph"}],"type":"list_item"},{"attrs":{"listMarks":[{"_":"font_size","value":"14pt"}]},"content":[{"attrs":{"lineHeight":"1","paddingBottom":"","paddingLeft":"54pt","paddingTop":"","textAlign":"justify","textMark":[{"_":"font_size","value":"14pt"}]},"content":[{"attrs":{},"marks":[{"_":"font_size","value":"14pt"},{"_":"font_family","value":"Times New Roman"}],"text":"коэффициент покрытия ссудной задолженности.","type":"text"}],"type":"paragraph"}],"type":"list_item"}],"type":"bullet_list"},{"attrs":{"lineHeight":"1","paddingBottom":"","paddingLeft":"0pt","paddingTop":"","textAlign":"justify","textIndent":true,"textMark":[{"_":"font_size","value":"14pt"}]},"content":[{"attrs":{},"marks":[{"_":"font_size","value":"14pt"},{"_":"font_family","value":"Times New Roman"},{"_":"strong"}],"text":"Оценка рисков проекта. ","type":"text"}],"type":"paragraph"},{"attrs":{"lineHeight":"1","paddingBottom":"","paddingLeft":"0pt","paddingTop":"","textAlign":"justify","textIndent":true,"textMark":[{"_":"font_size","value":"14pt"}]},"content":[{"attrs":{},"marks":[{"_":"font_size","value":"14pt"},{"_":"font_family","value":"Times New Roman"}],"text":"Обеспечение проекта.","type":"text"}],"type":"paragraph"},{"attrs":{"lineHeight":"1","paddingBottom":"","paddingLeft":"0pt","paddingTop":"","textAlign":"justify","textIndent":true,"textMark":[{"_":"font_size","value":"14pt"}]},"content":[{"attrs":{},"marks":[{"_":"font_size","value":"14pt"},{"_":"font_family","value":"Times New Roman"}],"text":"Основные препятствия, способные помешать реализации проекта.","type":"text"}],"type":"paragraph"},{"attrs":{"lineHeight":"","paddingBottom":"","paddingLeft":"","paddingTop":"","textAlign":"","textMark":[{"_":"font_size","value":"14pt"}]},"content":[{"attrs":{},"marks":[{"_":"font_size","value":"14pt"}],"text":" ","type":"text"}],"type":"paragraph"},{"attrs":{"order":1},"content":[{"attrs":{"listMarks":[{"_":"font_size","value":"14pt"}]},"content":[{"attrs":{"lineHeight":"1","paddingBottom":"","paddingLeft":"18pt","paddingTop":"","textAlign":"center","textMark":[{"_":"font_size","value":"14pt"}]},"content":[{"attrs":{},"marks":[{"_":"font_size","value":"14pt"},{"_":"font_family","value":"Times New Roman"},{"_":"strong"}],"text":"Инициатор проекта","type":"text"}],"type":"paragraph"}],"type":"list_item"}],"type":"ordered_list"},{"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Roman"},{"_":"strong"}],"text":"Инициатор проекта – ","type":"text"},{"attrs":{},"marks":[{"_":"font_size","value":"14pt"},{"_":"font_family","value":"Times New Roman"}],"text":"юридическое лицо, подающее обращение ","type":"text"},{"attrs":{},"marks":[{"_":"font_size","value":"14pt"}],"type":"hard_break"},{"attrs":{},"marks":[{"_":"font_size","value":"14pt"},{"_":"font_family","value":"Times New Roman"}],"text":"в АО «КАВКАЗ.РФ» в связи с реализацией проекта, и, как правило, потенциальный ","type":"text"},{"attrs":{},"marks":[{"_":"font_size","value":"14pt"},{"_":"font_family","value":"Times New Roman"},{"_":"strong"}],"text":"Заемщик ","type":"text"},{"attrs":{},"marks":[{"_":"font_size","value":"14pt"},{"_":"font_family","value":"Times New Roman"}],"text":"по проекту.","type":"text"}],"type":"paragraph"},{"attrs":{"order":1},"content":[{"attrs":{"listMarks":[]},"content":[{"attrs":{"order":1},"content":[{"attrs":{"listMarks":[{"_":"font_size","value":"14pt"}]},"content":[{"attrs":{"lineHeight":"1","paddingBottom":"","paddingLeft":"10.85pt","paddingTop":"","textAlign":"justify","textMark":[{"_":"font_size","value":"14pt"}]},"content":[{"attrs":{},"marks":[{"_":"font_size","value":"14pt"},{"_":"font_family","value":"Times New Roman"},{"_":"strong"}],"text":"Общие данные","type":"text"}],"type":"paragraph"}],"type":"list_item"}],"type":"ordered_list"}],"type":"list_item"}],"type":"ordered_list"},{"attrs":{"lineHeight":"1","paddingBottom":"","paddingLeft":"0pt","paddingTop":"","textAlign":"justify","textIndent":true,"textMark":[{"_":"font_size","value":"14pt"}]},"content":[{"attrs":{},"marks":[{"_":"font_size","value":"14pt"},{"_":"font_family","value":"Times New Roman"}],"text":"Организационно-правовая форма, наименование, адрес и дата регистрации (начала работы). Руководитель: Ф.И.О. и должность.","type":"text"}],"type":"paragraph"},{"attrs":{"lineHeight":"1","paddingBottom":"","paddingLeft":"0pt","paddingTop":"","textAlign":"justify","textIndent":true,"textMark":[{"_":"font_size","value":"14pt"}]},"content":[{"attrs":{},"marks":[{"_":"font_size","value":"14pt"},{"_":"font_family","value":"Times New Roman"}],"text":"Специалисты для контактов. Телефон, факс, адрес электронной почты ","type":"text"},{"attrs":{},"marks":[{"_":"font_size","value":"14pt"}],"type":"hard_break"},{"attrs":{},"marks":[{"_":"font_size","value":"14pt"},{"_":"font_family","value":"Times New Roman"}],"text":"и официального сайта в информационно-телекоммуникационной сети «Интернет».","type":"text"}],"type":"paragraph"},{"attrs":{"lineHeight":"1","paddingBottom":"","paddingLeft":"0pt","paddingTop":"","textAlign":"justify","textIndent":true,"textMark":[{"_":"font_size","value":"14pt"}]},"content":[{"attrs":{},"marks":[{"_":"font_size","value":"14pt"},{"_":"font_family","value":"Times New Roman"}],"text":"Сфера деятельности и отраслевая принадлежность.","type":"text"}],"type":"paragraph"},{"attrs":{"lineHeight":"1","paddingBottom":"","paddingLeft":"0pt","paddingTop":"","textAlign":"justify","textIndent":true,"textMark":[{"_":"font_size","value":"14pt"}]},"content":[{"attrs":{},"marks":[{"_":"font_size","value":"14pt"},{"_":"font_family","value":"Times New Roman"}],"text":"Филиалы и дочерние предприятия (основные виды их деятельности).","type":"text"}],"type":"paragraph"},{"attrs":{"lineHeight":"1","paddingBottom":"","paddingLeft":"0pt","paddingTop":"","textAlign":"justify","textIndent":true,"textMark":[{"_":"font_size","value":"14pt"}]},"content":[{"attrs":{},"marks":[{"_":"font_size","value":"14pt"},{"_":"font_family","value":"Times New Roman"}],"text":"История развития предприятия: события, которые повлияли на развитие предприятия, главные успехи и достижения компании в период до настоящего времени. Важные изменения в структуре компании, управлении ","type":"text"},{"attrs":{},"marks":[{"_":"font_size","value":"14pt"}],"type":"hard_break"},{"attrs":{},"marks":[{"_":"font_size","value":"14pt"},{"_":"font_family","value":"Times New Roman"}],"text":"или собственности.","type":"text"}],"type":"paragraph"},{"attrs":{"lineHeight":"1","paddingBottom":"","paddingLeft":"0pt","paddingTop":"","textAlign":"justify","textIndent":true,"textMark":[{"_":"font_size","value":"14pt"}]},"content":[{"attrs":{},"marks":[{"_":"font_size","value":"14pt"},{"_":"font_family","value":"Times New Roman"}],"text":"Опыт работы в сфере деятельности, связанной с предлагаемым проектом.","type":"text"}],"type":"paragraph"},{"attrs":{"lineHeight":"1","paddingBottom":"","paddingLeft":"0pt","paddingTop":"","textAlign":"justify","textIndent":true,"textMark":[{"_":"font_size","value":"14pt"}]},"content":[{"attrs":{},"marks":[{"_":"font_size","value":"14pt"},{"_":"font_family","value":"Times New Roman"}],"text":"Опыт реализации аналогичных проектов – эффективность/достижение органического роста/синергия проектов/достижение поставленных целей.","type":"text"}],"type":"paragraph"},{"attrs":{"lineHeight":"1","paddingBottom":"","paddingLeft":"0pt","paddingTop":"","textAlign":"justify","textIndent":true,"textMark":[{"_":"font_size","value":"14pt"}]},"content":[{"attrs":{},"marks":[{"_":"font_size","value":"14pt"},{"_":"font_family","value":"Times New Roman"}],"text":"Описание текущего масштаба бизнеса организации – инициатора (оценка активов, доля рынка, и др.).","type":"text"}],"type":"paragraph"},{"attrs":{"order":1},"content":[{"attrs":{"listMarks":[]},"content":[{"attrs":{"order":1},"content":[{"attrs":{"listMarks":[{"_":"font_size","value":"14pt"}]},"content":[{"attrs":{"lineHeight":"1","paddingBottom":"","paddingLeft":"10.85pt","paddingTop":"","textAlign":"justify","textMark":[{"_":"font_size","value":"14pt"}]},"content":[{"attrs":{},"marks":[{"_":"font_size","value":"14pt"},{"_":"font_family","value":"Times New Roman"},{"_":"strong"}],"text":"Учредители (акционеры)","type":"text"}],"type":"paragraph"}],"type":"list_item"}],"type":"ordered_list"}],"type":"list_item"}],"type":"ordered_list"},{"attrs":{"lineHeight":"1","paddingBottom":"","paddingLeft":"0pt","paddingTop":"","textAlign":"justify","textIndent":true,"textMark":[{"_":"font_size","value":"14pt"}]},"content":[{"attrs":{},"marks":[{"_":"font_size","value":"14pt"},{"_":"font_family","value":"Times New Roman"}],"text":"Размер уставного (акционерного / ООО) капитала, номинальная стоимость. Количество и номинал выпущенных акций, в том числе обыкновенных ","type":"text"},{"attrs":{},"marks":[{"_":"font_size","value":"14pt"}],"type":"hard_break"},{"attrs":{},"marks":[{"_":"font_size","value":"14pt"},{"_":"font_family","value":"Times New Roman"}],"text":"и привилегированных.","type":"text"}],"type":"paragraph"},{"attrs":{"lineHeight":"1","paddingBottom":"","paddingLeft":"0pt","paddingTop":"","textAlign":"justify","textIndent":true,"textMark":[{"_":"font_size","value":"14pt"}]},"content":[{"attrs":{},"marks":[{"_":"font_size","value":"14pt"},{"_":"font_family","value":"Times New Roman"}],"text":"Доля оплаченного капитала.","type":"text"}],"type":"paragraph"},{"attrs":{"lineHeight":"1","paddingBottom":"","paddingLeft":"0pt","paddingTop":"","textAlign":"justify","textIndent":true,"textMark":[{"_":"font_size","value":"14pt"}]},"content":[{"attrs":{},"marks":[{"_":"font_size","value":"14pt"},{"_":"font_family","value":"Times New Roman"}],"text":"Количество и номинал объявленных акций.","type":"text"}],"type":"paragraph"},{"attrs":{"lineHeight":"1","paddingBottom":"","paddingLeft":"0pt","paddingTop":"","textAlign":"justify","textIndent":true,"textMark":[{"_":"font_size","value":"14pt"}]},"content":[{"attrs":{},"marks":[{"_":"font_size","value":"14pt"},{"_":"font_family","value":"Times New Roman"}],"text":"Перечень основных учредителей (акционеров), с указанием их долей ","type":"text"},{"attrs":{},"marks":[{"_":"font_size","value":"14pt"}],"type":"hard_break"},{"attrs":{},"marks":[{"_":"font_size","value":"14pt"},{"_":"font_family","value":"Times New Roman"}],"text":"в капитале (имеющие долю свыше 2 %).","type":"text"}],"type":"paragraph"},{"attrs":{"order":1},"content":[{"attrs":{"listMarks":[]},"content":[{"attrs":{"order":1},"content":[{"attrs":{"listMarks":[{"_":"font_size","value":"14pt"}]},"content":[{"attrs":{"lineHeight":"1","paddingBottom":"","paddingLeft":"10.85pt","paddingTop":"","textAlign":"justify","textMark":[{"_":"font_size","value":"14pt"}]},"content":[{"attrs":{},"marks":[{"_":"font_size","value":"14pt"},{"_":"font_family","value":"Times New Roman"},{"_":"strong"}],"text":"Виды и объемы деятельности","type":"text"}],"type":"paragraph"}],"type":"list_item"}],"type":"ordered_list"}],"type":"list_item"}],"type":"ordered_list"},{"attrs":{"lineHeight":"1","paddingBottom":"","paddingLeft":"0pt","paddingTop":"","textAlign":"justify","textIndent":true,"textMark":[{"_":"font_size","value":"14pt"}]},"content":[{"attrs":{},"marks":[{"_":"font_size","value":"14pt"},{"_":"font_family","value":"Times New Roman"}],"text":"Основные виды выпускаемой продукции или оказываемых услуг. Основные потребители.","type":"text"}],"type":"paragraph"},{"attrs":{"lineHeight":"1","paddingBottom":"","paddingLeft":"0pt","paddingTop":"","textAlign":"justify","textIndent":true,"textMark":[{"_":"font_size","value":"14pt"}]},"content":[{"attrs":{},"marks":[{"_":"font_size","value":"14pt"},{"_":"font_family","value":"Times New Roman"}],"text":"Объем продаж, валовая прибыль, прибыль после уплаты налогов ","type":"text"},{"attrs":{},"marks":[{"_":"font_size","value":"14pt"}],"type":"hard_break"},{"attrs":{},"marks":[{"_":"font_size","value":"14pt"},{"_":"font_family","value":"Times New Roman"}],"text":"(за предыдущие три года, в том числе за последние три квартала).","type":"text"}],"type":"paragraph"},{"attrs":{"lineHeight":"1","paddingBottom":"","paddingLeft":"0pt","paddingTop":"","textAlign":"justify","textIndent":true,"textMark":[{"_":"font_size","value":"14pt"}]},"content":[{"attrs":{},"marks":[{"_":"font_size","value":"14pt"},{"_":"font_family","value":"Times New Roman"}],"text":"Численность персонала    (общая, административный персонал, инженерно- технический персонал, рабочие, специалисты службы маркетинга и сбыта).","type":"text"}],"type":"paragraph"},{"attrs":{"order":1},"content":[{"attrs":{"listMarks":[]},"content":[{"attrs":{"order":1},"content":[{"attrs":{"listMarks":[{"_":"font_size","value":"14pt"}]},"content":[{"attrs":{"lineHeight":"1","paddingBottom":"","paddingLeft":"10.85pt","paddingTop":"","textAlign":"justify","textMark":[{"_":"font_size","value":"14pt"}]},"content":[{"attrs":{},"marks":[{"_":"font_size","value":"14pt"},{"_":"font_family","value":"Times New Roman"},{"_":"strong"}],"text":"Информация о руководителях","type":"text"}],"type":"paragraph"}],"type":"list_item"}],"type":"ordered_list"}],"type":"list_item"}],"type":"ordered_list"},{"attrs":{"lineHeight":"1","paddingBottom":"","paddingLeft":"0pt","paddingTop":"","textAlign":"justify","textIndent":true,"textMark":[{"_":"font_size","value":"14pt"}]},"content":[{"attrs":{},"marks":[{"_":"font_size","value":"14pt"},{"_":"font_family","value":"Times New Roman"}],"text":"Краткая характеристика лиц, ответственных за результаты работы предприятия и реализацию проекта:","type":"text"}],"type":"paragraph"},{"attrs":{},"content":[{"attrs":{"listMarks":[{"_":"font_size","value":"14pt"}]},"content":[{"attrs":{"lineHeight":"1","paddingBottom":"","paddingLeft":"18pt","paddingTop":"","textAlign":"justify","textMark":[{"_":"font_size","value":"14pt"}]},"content":[{"attrs":{},"marks":[{"_":"font_size","value":"14pt"},{"_":"font_family","value":"Times New Roman"}],"text":"фамилия, имя, отчество; год рождения;","type":"text"}],"type":"paragraph"}],"type":"list_item"},{"attrs":{"listMarks":[{"_":"font_size","value":"14pt"}]},"content":[{"attrs":{"lineHeight":"1","paddingBottom":"","paddingLeft":"18pt","paddingTop":"","textAlign":"justify","textMark":[{"_":"font_size","value":"14pt"}]},"content":[{"attrs":{},"marks":[{"_":"font_size","value":"14pt"},{"_":"font_family","value":"Times New Roman"}],"text":"должность;","type":"text"}],"type":"paragraph"}],"type":"list_item"},{"attrs":{"listMarks":[{"_":"font_size","value":"14pt"}]},"content":[{"attrs":{"lineHeight":"1","paddingBottom":"","paddingLeft":"18pt","paddingTop":"","textAlign":"justify","textMark":[{"_":"font_size","value":"14pt"}]},"content":[{"attrs":{},"marks":[{"_":"font_size","value":"14pt"},{"_":"font_family","value":"Times New Roman"}],"text":"образование и квалификация;","type":"text"}],"type":"paragraph"}],"type":"list_item"},{"attrs":{"listMarks":[{"_":"font_size","value":"14pt"}]},"content":[{"attrs":{"lineHeight":"1","paddingBottom":"","paddingLeft":"18pt","paddingTop":"","textAlign":"justify","textMark":[{"_":"font_size","value":"14pt"}]},"content":[{"attrs":{},"marks":[{"_":"font_size","value":"14pt"},{"_":"font_family","value":"Times New Roman"}],"text":"трудовая деятельность за последние 10 лет.","type":"text"}],"type":"paragraph"}],"type":"list_item"}],"type":"bullet_list"},{"attrs":{"lineHeight":"","paddingBottom":"","paddingLeft":"","paddingTop":"","textAlign":"","textMark":[{"_":"font_size","value":"14pt"}]},"content":[{"attrs":{},"marks":[{"_":"font_size","value":"14pt"}],"text":" ","type":"text"}],"type":"paragraph"},{"attrs":{"order":1},"content":[{"attrs":{"listMarks":[{"_":"font_size","value":"14pt"}]},"content":[{"attrs":{"lineHeight":"1","paddingBottom":"","paddingLeft":"18pt","paddingTop":"","textAlign":"center","textMark":[{"_":"font_size","value":"14pt"}]},"content":[{"attrs":{},"marks":[{"_":"font_size","value":"14pt"},{"_":"font_family","value":"Times New Roman"},{"_":"strong"}],"text":"Существо предлагаемого проекта","type":"text"}],"type":"paragraph"}],"type":"list_item"}],"type":"ordered_list"},{"attrs":{"lineHeight":"","paddingBottom":"","paddingLeft":"","paddingTop":"","textAlign":"","textMark":[{"_":"font_size","value":"14pt"}]},"content":[{"attrs":{},"marks":[{"_":"font_size","value":"14pt"}],"text":" ","type":"text"}],"type":"paragraph"},{"attrs":{"order":1},"content":[{"attrs":{"listMarks":[]},"content":[{"attrs":{"order":1},"content":[{"attrs":{"listMarks":[{"_":"font_size","value":"14pt"}]},"content":[{"attrs":{"lineHeight":"1","paddingBottom":"","paddingLeft":"10.85pt","paddingTop":"","textAlign":"justify","textMark":[{"_":"font_size","value":"14pt"}]},"content":[{"attrs":{},"marks":[{"_":"font_size","value":"14pt"},{"_":"font_family","value":"Times New Roman"},{"_":"strong"}],"text":"Местонахождение объекта","type":"text"}],"type":"paragraph"}],"type":"list_item"}],"type":"ordered_list"}],"type":"list_item"}],"type":"ordered_list"},{"attrs":{"lineHeight":"1","paddingBottom":"","paddingLeft":"0pt","paddingTop":"","textAlign":"justify","textIndent":true,"textMark":[{"_":"font_size","value":"14pt"}]},"content":[{"attrs":{},"marks":[{"_":"font_size","value":"14pt"},{"_":"font_family","value":"Times New Roman"}],"text":"Обоснование выбора местоположения (при реализации проекта на новой площадке, а не на действующем предприятии Инициатора проекта).","type":"text"}],"type":"paragraph"},{"attrs":{"lineHeight":"1","paddingBottom":"","paddingLeft":"0pt","paddingTop":"","textAlign":"justify","textIndent":true,"textMark":[{"_":"font_size","value":"14pt"}]},"content":[{"attrs":{},"marks":[{"_":"font_size","value":"14pt"},{"_":"font_family","value":"Times New Roman"}],"text":"Доступность ресурсов. Близость к потребителям. Развитая инфраструктура. Близость к действующему предприятию. Другое.","type":"text"}],"type":"paragraph"},{"attrs":{"lineHeight":"1","paddingBottom":"","paddingLeft":"0pt","paddingTop":"","textAlign":"justify","textIndent":true,"textMark":[{"_":"font_size","value":"14pt"}]},"content":[{"attrs":{},"marks":[{"_":"font_size","value":"14pt"},{"_":"font_family","value":"Times New Roman"}],"text":"Наличие производственных площадей и инфраструктуры.","type":"text"}],"type":"paragraph"},{"attrs":{"lineHeight":"1","paddingBottom":"","paddingLeft":"0pt","paddingTop":"","textAlign":"justify","textIndent":true,"textMark":[{"_":"font_size","value":"14pt"}]},"content":[{"attrs":{},"marks":[{"_":"font_size","value":"14pt"},{"_":"font_family","value":"Times New Roman"}],"text":"Основные здания и сооружения, их функциональное назначение, занимаемая площадь, площадь земельного участка, права владения (собственность или аренда), стоимость (уровень арендных платежей, условия аренды, сроки).","type":"text"}],"type":"paragraph"},{"attrs":{"lineHeight":"1","paddingBottom":"","paddingLeft":"0pt","paddingTop":"","textAlign":"justify","textIndent":true,"textMark":[{"_":"font_size","value":"14pt"}]},"content":[{"attrs":{},"marks":[{"_":"font_size","value":"14pt"},{"_":"font_family","value":"Times New Roman"}],"text":"Состояние основного производственного оборудования, условия владения (собственность или аренда), стоимость (уровень арендных платежей, условия аренды, сроки).","type":"text"}],"type":"paragraph"},{"attrs":{"lineHeight":"1","paddingBottom":"","paddingLeft":"0pt","paddingTop":"","textAlign":"justify","textIndent":true,"textMark":[{"_":"font_size","value":"14pt"}]},"content":[{"attrs":{},"marks":[{"_":"font_size","value":"14pt"},{"_":"font_family","value":"Times New Roman"}],"text":"Наличие хранилищ, складов, транспортного и погрузочно-разгрузочного оборудования. Энерго-, тепло- и водоснабжение, канализация.","type":"text"}],"type":"paragraph"},{"attrs":{"lineHeight":"1","paddingBottom":"","paddingLeft":"0pt","paddingTop":"","textAlign":"justify","textIndent":true,"textMark":[{"_":"font_size","value":"14pt"}]},"content":[{"attrs":{},"marks":[{"_":"font_size","value":"14pt"},{"_":"font_family","value":"Times New Roman"}],"text":"Автомобильные и железные дороги, аэропорты, морские и речные порты, грузовые терминалы и таможенные склады и т.п.","type":"text"}],"type":"paragraph"},{"attrs":{"order":1},"content":[{"attrs":{"listMarks":[]},"content":[{"attrs":{"order":1},"content":[{"attrs":{"listMarks":[{"_":"font_size","value":"14pt"}]},"content":[{"attrs":{"lineHeight":"1","paddingBottom":"","paddingLeft":"10.85pt","paddingTop":"","textAlign":"justify","textMark":[{"_":"font_size","value":"14pt"}]},"content":[{"attrs":{},"marks":[{"_":"font_size","value":"14pt"},{"_":"font_family","value":"Times New Roman"},{"_":"strong"}],"text":"Описание продукта (услуги)","type":"text"}],"type":"paragraph"}],"type":"list_item"}],"type":"ordered_list"}],"type":"list_item"}],"type":"ordered_list"},{"attrs":{"lineHeight":"1","paddingBottom":"","paddingLeft":"0pt","paddingTop":"","textAlign":"justify","textIndent":true,"textMark":[{"_":"font_size","value":"14pt"}]},"content":[{"attrs":{},"marks":[{"_":"font_size","value":"14pt"},{"_":"font_family","value":"Times New Roman"}],"text":"Функциональное назначение продукта (для каких целей он предназначен). Характерные свойства продукта (уникальные, если имеются).","type":"text"}],"type":"paragraph"},{"attrs":{"lineHeight":"1","paddingBottom":"","paddingLeft":"0pt","paddingTop":"","textAlign":"justify","textIndent":true,"textMark":[{"_":"font_size","value":"14pt"}]},"content":[{"attrs":{},"marks":[{"_":"font_size","value":"14pt"},{"_":"font_family","value":"Times New Roman"}],"text":"Особые требования к качеству продукта.","type":"text"}],"type":"paragraph"},{"attrs":{"lineHeight":"1","paddingBottom":"","paddingLeft":"0pt","paddingTop":"","textAlign":"justify","textIndent":true,"textMark":[{"_":"font_size","value":"14pt"}]},"content":[{"attrs":{},"marks":[{"_":"font_size","value":"14pt"},{"_":"font_family","value":"Times New Roman"}],"text":"Сравнение с конкурирующими (замещающими или альтернативными) продуктами.","type":"text"}],"type":"paragraph"},{"attrs":{"lineHeight":"1","paddingBottom":"","paddingLeft":"0pt","paddingTop":"","textAlign":"justify","textIndent":true,"textMark":[{"_":"font_size","value":"14pt"}]},"content":[{"attrs":{},"marks":[{"_":"font_size","value":"14pt"},{"_":"font_family","value":"Times New Roman"}],"text":"Стадия развития продукта (идея, эскизный проект, рабочий проект, прототип, опытная партия, действующее серийное производство).","type":"text"}],"type":"paragraph"},{"attrs":{"lineHeight":"1","paddingBottom":"","paddingLeft":"0pt","paddingTop":"","textAlign":"justify","textIndent":true,"textMark":[{"_":"font_size","value":"14pt"}]},"content":[{"attrs":{},"marks":[{"_":"font_size","value":"14pt"},{"_":"font_family","value":"Times New Roman"}],"text":"Степень патентно-лицензионной защищенности продукта, наличие зарегистрированной торговой марки.","type":"text"}],"type":"paragraph"},{"attrs":{"lineHeight":"1","paddingBottom":"","paddingLeft":"0pt","paddingTop":"","textAlign":"justify","textIndent":true,"textMark":[{"_":"font_size","value":"14pt"}]},"content":[{"attrs":{},"marks":[{"_":"font_size","value":"14pt"},{"_":"font_family","value":"Times New Roman"}],"text":"Возможности дальнейшего развития продукта.","type":"text"}],"type":"paragraph"},{"attrs":{"order":1},"content":[{"attrs":{"listMarks":[]},"content":[{"attrs":{"order":1},"content":[{"attrs":{"listMarks":[{"_":"font_size","value":"14pt"}]},"content":[{"attrs":{"lineHeight":"1","paddingBottom":"","paddingLeft":"10.85pt","paddingTop":"","textAlign":"justify","textMark":[{"_":"font_size","value":"14pt"}]},"content":[{"attrs":{},"marks":[{"_":"font_size","value":"14pt"},{"_":"font_family","value":"Times New Roman"},{"_":"strong"}],"text":"Технология производства продукта (оказания услуги)","type":"text"}],"type":"paragraph"}],"type":"list_item"}],"type":"ordered_list"}],"type":"list_item"}],"type":"ordered_list"},{"attrs":{"lineHeight":"1","paddingBottom":"","paddingLeft":"0pt","paddingTop":"","textAlign":"justify","textIndent":true,"textMark":[{"_":"font_size","value":"14pt"}]},"content":[{"attrs":{},"marks":[{"_":"font_size","value":"14pt"},{"_":"font_family","value":"Times New Roman"}],"text":"Технологический уровень в отрасли.","type":"text"}],"type":"paragraph"},{"attrs":{"lineHeight":"1","paddingBottom":"","paddingLeft":"0pt","paddingTop":"","textAlign":"justify","textIndent":true,"textMark":[{"_":"font_size","value":"14pt"}]},"content":[{"attrs":{},"marks":[{"_":"font_size","value":"14pt"},{"_":"font_family","value":"Times New Roman"}],"text":"Тенденции изменения и развития технологии (для проектов сельскохозяйственного производства: технологии обработки земли, семян или посадочного материала, прогрессивный севооборот; достижения племенного дела, условия содержания птицы или животных, технологии и рационы кормления ","type":"text"},{"attrs":{},"marks":[{"_":"font_size","value":"14pt"}],"type":"hard_break"},{"attrs":{},"marks":[{"_":"font_size","value":"14pt"},{"_":"font_family","value":"Times New Roman"}],"text":"и т.п.).","type":"text"}],"type":"paragraph"},{"attrs":{"lineHeight":"1","paddingBottom":"","paddingLeft":"0pt","paddingTop":"","textAlign":"justify","textIndent":true,"textMark":[{"_":"font_size","value":"14pt"}]},"content":[{"attrs":{},"marks":[{"_":"font_size","value":"14pt"},{"_":"font_family","value":"Times New Roman"}],"text":"Описание выбранной технологии производства (оказания услуг).","type":"text"}],"type":"paragraph"},{"attrs":{"lineHeight":"1","paddingBottom":"","paddingLeft":"0pt","paddingTop":"","textAlign":"justify","textIndent":true,"textMark":[{"_":"font_size","value":"14pt"}]},"content":[{"attrs":{},"marks":[{"_":"font_size","value":"14pt"},{"_":"font_family","value":"Times New Roman"}],"text":"Основные технологические решения и процессы. Длительность технологического цикла. Схема материальных потоков. Утилизация отходов.","type":"text"}],"type":"paragraph"},{"attrs":{"lineHeight":"1","paddingBottom":"","paddingLeft":"0pt","paddingTop":"","textAlign":"justify","textIndent":true,"textMark":[{"_":"font_size","value":"14pt"}]},"content":[{"attrs":{},"marks":[{"_":"font_size","value":"14pt"},{"_":"font_family","value":"Times New Roman"}],"text":"Производственная мощность.","type":"text"}],"type":"paragraph"},{"attrs":{"lineHeight":"1","paddingBottom":"","paddingLeft":"0pt","paddingTop":"","textAlign":"justify","textIndent":true,"textMark":[{"_":"font_size","value":"14pt"}]},"content":[{"attrs":{},"marks":[{"_":"font_size","value":"14pt"},{"_":"font_family","value":"Times New Roman"}],"text":"Годовая проектная мощность предприятия (для проектов сельскохозяйственного производства – урожайность с учетом климатических условий, состава почв, технологии обработки, севооборота, качества семян ","type":"text"},{"attrs":{},"marks":[{"_":"font_size","value":"14pt"}],"type":"hard_break"},{"attrs":{},"marks":[{"_":"font_size","value":"14pt"},{"_":"font_family","value":"Times New Roman"}],"text":"или посадочного материала, наличия минеральных и органических удобрений, средств защиты растений и животных, кормов и т.п.).","type":"text"}],"type":"paragraph"},{"attrs":{"order":1},"content":[{"attrs":{"listMarks":[]},"content":[{"attrs":{"order":1},"content":[{"attrs":{"listMarks":[{"_":"font_size","value":"14pt"}]},"content":[{"attrs":{"lineHeight":"1","paddingBottom":"","paddingLeft":"10.85pt","paddingTop":"","textAlign":"justify","textMark":[{"_":"font_size","value":"14pt"}]},"content":[{"attrs":{},"marks":[{"_":"font_size","value":"14pt"},{"_":"font_family","value":"Times New Roman"},{"_":"strong"}],"text":"Характеристики закупаемого оборудования (техники)","type":"text"}],"type":"paragraph"}],"type":"list_item"}],"type":"ordered_list"}],"type":"list_item"}],"type":"ordered_list"},{"attrs":{"lineHeight":"1","paddingBottom":"","paddingLeft":"0pt","paddingTop":"","textAlign":"justify","textIndent":true,"textMark":[{"_":"font_size","value":"14pt"}]},"content":[{"attrs":{},"marks":[{"_":"font_size","value":"14pt"},{"_":"font_family","value":"Times New Roman"}],"text":"Поставщики оборудования (техники).","type":"text"}],"type":"paragraph"},{"attrs":{"lineHeight":"1","paddingBottom":"","paddingLeft":"0pt","paddingTop":"","textAlign":"justify","textIndent":true,"textMark":[{"_":"font_size","value":"14pt"}]},"content":[{"attrs":{},"marks":[{"_":"font_size","value":"14pt"},{"_":"font_family","value":"Times New Roman"}],"text":"Сравнение технических параметров оборудования (техники). Анализ коммерческих предложений по критерию цена/качество. Совместимость ","type":"text"},{"attrs":{},"marks":[{"_":"font_size","value":"14pt"}],"type":"hard_break"},{"attrs":{},"marks":[{"_":"font_size","value":"14pt"},{"_":"font_family","value":"Times New Roman"}],"text":"с имеющимся оборудованием (техникой).","type":"text"}],"type":"paragraph"},{"attrs":{"lineHeight":"1","paddingBottom":"","paddingLeft":"0pt","paddingTop":"","textAlign":"justify","textIndent":true,"textMark":[{"_":"font_size","value":"14pt"}]},"content":[{"attrs":{},"marks":[{"_":"font_size","value":"14pt"},{"_":"font_family","value":"Times New Roman"}],"text":"Требования к персоналу.","type":"text"}],"type":"paragraph"},{"attrs":{"lineHeight":"1","paddingBottom":"","paddingLeft":"0pt","paddingTop":"","textAlign":"justify","textIndent":true,"textMark":[{"_":"font_size","value":"14pt"}]},"content":[{"attrs":{},"marks":[{"_":"font_size","value":"14pt"},{"_":"font_family","value":"Times New Roman"}],"text":"Требования к производственным площадям.","type":"text"}],"type":"paragraph"},{"attrs":{"lineHeight":"1","paddingBottom":"","paddingLeft":"0pt","paddingTop":"","textAlign":"justify","textIndent":true,"textMark":[{"_":"font_size","value":"14pt"}]},"content":[{"attrs":{},"marks":[{"_":"font_size","value":"14pt"},{"_":"font_family","value":"Times New Roman"}],"text":"Требования к энерго-, тепло- и водоснабжению, канализации. Требования к сырью, комплектующим и материалам.","type":"text"}],"type":"paragraph"},{"attrs":{"lineHeight":"1","paddingBottom":"","paddingLeft":"0pt","paddingTop":"","textAlign":"justify","textIndent":true,"textMark":[{"_":"font_size","value":"14pt"}]},"content":[{"attrs":{},"marks":[{"_":"font_size","value":"14pt"},{"_":"font_family","value":"Times New Roman"}],"text":"Организация ремонта. Безопасность производства.","type":"text"}],"type":"paragraph"},{"attrs":{"lineHeight":"1","paddingBottom":"","paddingLeft":"0pt","paddingTop":"","textAlign":"justify","textIndent":true,"textMark":[{"_":"font_size","value":"14pt"}]},"content":[{"attrs":{},"marks":[{"_":"font_size","value":"14pt"},{"_":"font_family","value":"Times New Roman"}],"text":"Парафированные или подписанные договора (контракты) на закупаемое оборудование (технику) – привести в Приложениях к бизнесу – плану.","type":"text"}],"type":"paragraph"},{"attrs":{"order":1},"content":[{"attrs":{"listMarks":[]},"content":[{"attrs":{"order":1},"content":[{"attrs":{"listMarks":[{"_":"font_size","value":"14pt"}]},"content":[{"attrs":{"lineHeight":"1","paddingBottom":"","paddingLeft":"10.85pt","paddingTop":"","textAlign":"justify","textMark":[{"_":"font_size","value":"14pt"}]},"content":[{"attrs":{},"marks":[{"_":"font_size","value":"14pt"},{"_":"font_family","value":"Times New Roman"},{"_":"strong"}],"text":"Экологические вопросы производства","type":"text"}],"type":"paragraph"}],"type":"list_item"}],"type":"ordered_list"}],"type":"list_item"}],"type":"ordered_list"},{"attrs":{"lineHeight":"1","paddingBottom":"","paddingLeft":"0pt","paddingTop":"","textAlign":"justify","textIndent":true,"textMark":[{"_":"font_size","value":"14pt"}]},"content":[{"attrs":{},"marks":[{"_":"font_size","value":"14pt"},{"_":"font_family","value":"Times New Roman"}],"text":"Влияние проекта на окружающую среду, в том числе:","type":"text"}],"type":"paragraph"},{"attrs":{},"content":[{"attrs":{"listMarks":[{"_":"font_size","value":"14pt"}]},"content":[{"attrs":{"lineHeight":"1","paddingBottom":"","paddingLeft":"18pt","paddingTop":"","textAlign":"justify","textMark":[{"_":"font_size","value":"14pt"}]},"content":[{"attrs":{},"marks":[{"_":"font_size","value":"14pt"},{"_":"font_family","value":"Times New Roman"}],"text":"факторы воздействия на окружающую среду (по видам и объектам воздействия); ","type":"text"}],"type":"paragraph"}],"type":"list_item"},{"attrs":{"listMarks":[{"_":"font_size","value":"14pt"}]},"content":[{"attrs":{"lineHeight":"1","paddingBottom":"","paddingLeft":"18pt","paddingTop":"","textAlign":"justify","textMark":[{"_":"font_size","value":"14pt"}]},"content":[{"attrs":{},"marks":[{"_":"font_size","value":"14pt"},{"_":"font_family","value":"Times New Roman"}],"text":"затраты на обеспечение экологической безопасности проекта.","type":"text"}],"type":"paragraph"}],"type":"list_item"}],"type":"bullet_list"},{"attrs":{"lineHeight":"1","paddingBottom":"","paddingLeft":"0pt","paddingTop":"","textAlign":"justify","textIndent":true,"textMark":[{"_":"font_size","value":"14pt"}]},"content":[{"attrs":{},"marks":[{"_":"font_size","value":"14pt"},{"_":"font_family","value":"Times New Roman"}],"text":"Подверженность проекта негативным воздействиям окружающей среды. Охарактеризуйте климатические условия, их влияние на проект (для проектов сельскохозяйственного производства обязательно).","type":"text"}],"type":"paragraph"},{"attrs":{"lineHeight":"1","paddingBottom":"","paddingLeft":"0pt","paddingTop":"","textAlign":"justify","textIndent":true,"textMark":[{"_":"font_size","value":"14pt"}]},"content":[{"attrs":{},"marks":[{"_":"font_size","value":"14pt"},{"_":"font_family","value":"Times New Roman"}],"text":"Наличие соответствующей экологической экспертизы проекта (Федеральный закон от 15.04.1998 № 65-ФЗ «Об экологической экспертизе»).","type":"text"}],"type":"paragraph"},{"attrs":{"lineHeight":"","paddingBottom":"","paddingLeft":"","paddingTop":"","textAlign":"","textMark":[{"_":"font_size","value":"14pt"}]},"content":[{"attrs":{},"marks":[{"_":"font_size","value":"14pt"}],"text":" ","type":"text"}],"type":"paragraph"},{"attrs":{"order":1},"content":[{"attrs":{"listMarks":[{"_":"font_size","value":"14pt"}]},"content":[{"attrs":{"lineHeight":"1","paddingBottom":"","paddingLeft":"18pt","paddingTop":"","textAlign":"center","textMark":[{"_":"font_size","value":"14pt"}]},"content":[{"attrs":{},"marks":[{"_":"font_size","value":"14pt"},{"_":"font_family","value":"Times New Roman"},{"_":"strong"}],"text":"Анализ рынков сбыта продукции и закупок сырья","type":"text"},{"attrs":{},"marks":[{"_":"font_size","value":"14pt"},{"_":"link","href":"#note-1"},{"_":"superscript"}],"text":"1","type":"text"}],"type":"paragraph"}],"type":"list_item"}],"type":"ordered_list"},{"attrs":{"lineHeight":"","paddingBottom":"","paddingLeft":"","paddingTop":"","textAlign":"","textMark":[{"_":"font_size","value":"14pt"}]},"content":[{"attrs":{},"marks":[{"_":"font_size","value":"14pt"}],"text":" ","type":"text"}],"type":"paragraph"},{"attrs":{"order":1},"content":[{"attrs":{"listMarks":[]},"content":[{"attrs":{"order":1},"content":[{"attrs":{"listMarks":[{"_":"font_size","value":"14pt"}]},"content":[{"attrs":{"lineHeight":"1","paddingBottom":"","paddingLeft":"18pt","paddingTop":"","textAlign":"justify","textMark":[{"_":"font_size","value":"14pt"}]},"content":[{"attrs":{},"marks":[{"_":"font_size","value":"14pt"},{"_":"font_family","value":"Times New Roman"},{"_":"strong"}],"text":"Рынок сырья, материалов и комплектующих","type":"text"}],"type":"paragraph"}],"type":"list_item"}],"type":"ordered_list"}],"type":"list_item"}],"type":"ordered_list"},{"attrs":{"lineHeight":"1","paddingBottom":"","paddingLeft":"0pt","paddingTop":"","textAlign":"justify","textIndent":true,"textMark":[{"_":"font_size","value":"14pt"}]},"content":[{"attrs":{},"marks":[{"_":"font_size","value":"14pt"},{"_":"font_family","value":"Times New Roman"}],"text":"Перечень необходимого сырья, комплектующих и материалов, ","type":"text"},{"attrs":{},"marks":[{"_":"font_size","value":"14pt"}],"type":"hard_break"},{"attrs":{},"marks":[{"_":"font_size","value":"14pt"},{"_":"font_family","value":"Times New Roman"}],"text":"в том числе импортных.","type":"text"}],"type":"paragraph"},{"attrs":{"lineHeight":"1","paddingBottom":"","paddingLeft":"0pt","paddingTop":"","textAlign":"justify","textIndent":true,"textMark":[{"_":"font_size","value":"14pt"}]},"content":[{"attrs":{},"marks":[{"_":"font_size","value":"14pt"},{"_":"font_family","value":"Times New Roman"}],"text":"Требуемые объемы и качество, доступность, цены (в рублях ","type":"text"},{"attrs":{},"marks":[{"_":"font_size","value":"14pt"}],"type":"hard_break"},{"attrs":{},"marks":[{"_":"font_size","value":"14pt"},{"_":"font_family","value":"Times New Roman"}],"text":"или соответствующей валюте), условия приобретения, возможность получения специальных скидок или льготных условий поставки (с отсрочкой платежа, либо его доли).","type":"text"}],"type":"paragraph"},{"attrs":{"lineHeight":"1","paddingBottom":"","paddingLeft":"0pt","paddingTop":"","textAlign":"justify","textIndent":true,"textMark":[{"_":"font_size","value":"14pt"}]},"content":[{"attrs":{},"marks":[{"_":"font_size","value":"14pt"},{"_":"font_family","value":"Times New Roman"}],"text":"Влияние конкурентов на условия закупок сырья, материалов ","type":"text"},{"attrs":{},"marks":[{"_":"font_size","value":"14pt"}],"type":"hard_break"},{"attrs":{},"marks":[{"_":"font_size","value":"14pt"},{"_":"font_family","value":"Times New Roman"}],"text":"и комплектующих. Основные поставщики. Их надежность. Наличие альтернативных поставщиков.","type":"text"}],"type":"paragraph"},{"attrs":{"lineHeight":"1","paddingBottom":"","paddingLeft":"0pt","paddingTop":"","textAlign":"justify","textIndent":true,"textMark":[{"_":"font_size","value":"14pt"}]},"content":[{"attrs":{},"marks":[{"_":"font_size","value":"14pt"},{"_":"font_family","value":"Times New Roman"}],"text":"Наличие договоров на закупку сырья, материалов, комплектующих – привести в Приложениях к бизнес-плану.","type":"text"}],"type":"paragraph"},{"attrs":{"order":1},"content":[{"attrs":{"listMarks":[]},"content":[{"attrs":{"order":1},"content":[{"attrs":{"listMarks":[{"_":"font_size","value":"14pt"}]},"content":[{"attrs":{"lineHeight":"1","paddingBottom":"","paddingLeft":"18pt","paddingTop":"","textAlign":"justify","textMark":[{"_":"font_size","value":"14pt"}]},"content":[{"attrs":{},"marks":[{"_":"font_size","value":"14pt"},{"_":"font_family","value":"Times New Roman"},{"_":"strong"}],"text":"Конкуренция на рынке сбыта","type":"text"}],"type":"paragraph"}],"type":"list_item"}],"type":"ordered_list"}],"type":"list_item"}],"type":"ordered_list"},{"attrs":{"lineHeight":"1","paddingBottom":"","paddingLeft":"0pt","paddingTop":"","textAlign":"justify","textIndent":true,"textMark":[{"_":"font_size","value":"14pt"}]},"content":[{"attrs":{},"marks":[{"_":"font_size","value":"14pt"},{"_":"font_family","value":"Times New Roman"}],"text":"Перечень предприятий – основных конкурентов. Сильные и слабые стороны основных конкурентов. Удельный вес конкурентов в обороте рынка.","type":"text"}],"type":"paragraph"},{"attrs":{"lineHeight":"1","paddingBottom":"","paddingLeft":"0pt","paddingTop":"","textAlign":"justify","textIndent":true,"textMark":[{"_":"font_size","value":"14pt"}]},"content":[{"attrs":{},"marks":[{"_":"font_size","value":"14pt"},{"_":"font_family","value":"Times New Roman"}],"text":"Технологический уровень предприятий – конкурентов.","type":"text"}],"type":"paragraph"},{"attrs":{"lineHeight":"1","paddingBottom":"","paddingLeft":"0pt","paddingTop":"","textAlign":"justify","textIndent":true,"textMark":[{"_":"font_size","value":"14pt"}]},"content":[{"attrs":{},"marks":[{"_":"font_size","value":"14pt"},{"_":"font_family","value":"Times New Roman"}],"text":"Цены конкурентной продукции и используемые конкурентами способы стимулирования сбыта. Реакция конкурентов на появление на рынке продукта, производимого в рамках данного проекта.","type":"text"}],"type":"paragraph"},{"attrs":{"order":1},"content":[{"attrs":{"listMarks":[]},"content":[{"attrs":{"order":1},"content":[{"attrs":{"listMarks":[{"_":"font_size","value":"14pt"}]},"content":[{"attrs":{"lineHeight":"1","paddingBottom":"","paddingLeft":"18pt","paddingTop":"","textAlign":"justify","textMark":[{"_":"font_size","value":"14pt"}]},"content":[{"attrs":{},"marks":[{"_":"font_size","value":"14pt"},{"_":"font_family","value":"Times New Roman"},{"_":"strong"}],"text":"Потенциальная емкость рынка сбыта","type":"text"}],"type":"paragraph"}],"type":"list_item"}],"type":"ordered_list"}],"type":"list_item"}],"type":"ordered_list"},{"attrs":{"lineHeight":"1","paddingBottom":"","paddingLeft":"0pt","paddingTop":"","textAlign":"justify","textIndent":true,"textMark":[{"_":"font_size","value":"14pt"}]},"content":[{"attrs":{},"marks":[{"_":"font_size","value":"14pt"},{"_":"font_family","value":"Times New Roman"}],"text":"Размер сегмента рынка, на котором работает или предполагает работать предприятие (общий годовой объем продаж в натуральном и стоимостном выражении);","type":"text"}],"type":"paragraph"},{"attrs":{"lineHeight":"1","paddingBottom":"","paddingLeft":"0pt","paddingTop":"","textAlign":"justify","textIndent":true,"textMark":[{"_":"font_size","value":"14pt"}]},"content":[{"attrs":{},"marks":[{"_":"font_size","value":"14pt"},{"_":"font_family","value":"Times New Roman"}],"text":"Характеристика групп потребителей продукта:","type":"text"}],"type":"paragraph"},{"attrs":{},"content":[{"attrs":{"listMarks":[{"_":"font_size","value":"14pt"}]},"content":[{"attrs":{"lineHeight":"1","paddingBottom":"","paddingLeft":"18pt","paddingTop":"","textAlign":"justify","textMark":[{"_":"font_size","value":"14pt"}]},"content":[{"attrs":{},"marks":[{"_":"font_size","value":"14pt"},{"_":"font_family","value":"Times New Roman"}],"text":"тип потребителя (физические лица, предприятия, единичные потребители);","type":"text"}],"type":"paragraph"}],"type":"list_item"},{"attrs":{"listMarks":[{"_":"font_size","value":"14pt"}]},"content":[{"attrs":{"lineHeight":"1","paddingBottom":"","paddingLeft":"18pt","paddingTop":"","textAlign":"justify","textMark":[{"_":"font_size","value":"14pt"}]},"content":[{"attrs":{},"marks":[{"_":"font_size","value":"14pt"},{"_":"font_family","value":"Times New Roman"}],"text":" географическое расположение потребителей;","type":"text"}],"type":"paragraph"}],"type":"list_item"},{"attrs":{"listMarks":[{"_":"font_size","value":"14pt"}]},"content":[{"attrs":{"lineHeight":"1","paddingBottom":"","paddingLeft":"18pt","paddingTop":"","textAlign":"justify","textMark":[{"_":"font_size","value":"14pt"}]},"content":[{"attrs":{},"marks":[{"_":"font_size","value":"14pt"},{"_":"font_family","value":"Times New Roman"}],"text":"мнение потребителей о продукте;","type":"text"}],"type":"paragraph"}],"type":"list_item"},{"attrs":{"listMarks":[{"_":"font_size","value":"14pt"}]},"content":[{"attrs":{"lineHeight":"1","paddingBottom":"","paddingLeft":"18pt","paddingTop":"","textAlign":"justify","textMark":[{"_":"font_size","value":"14pt"}]},"content":[{"attrs":{},"marks":[{"_":"font_size","value":"14pt"},{"_":"font_family","value":"Times New Roman"}],"text":"зависимость потребительского спроса от цены.","type":"text"}],"type":"paragraph"}],"type":"list_item"}],"type":"bullet_list"},{"attrs":{"lineHeight":"1","paddingBottom":"","paddingLeft":"0pt","paddingTop":"","textAlign":"justify","textIndent":true,"textMark":[{"_":"font_size","value":"14pt"}]},"content":[{"attrs":{},"marks":[{"_":"font_size","value":"14pt"},{"_":"font_family","value":"Times New Roman"}],"text":"Характеристика имеющихся основных потребителей. ","type":"text"}],"type":"paragraph"},{"attrs":{"lineHeight":"1","paddingBottom":"","paddingLeft":"0pt","paddingTop":"","textAlign":"justify","textIndent":true,"textMark":[{"_":"font_size","value":"14pt"}]},"content":[{"attrs":{},"marks":[{"_":"font_size","value":"14pt"},{"_":"font_family","value":"Times New Roman"}],"text":"Характеристика потенциальных потребителей.","type":"text"}],"type":"paragraph"},{"attrs":{"lineHeight":"1","paddingBottom":"","paddingLeft":"0pt","paddingTop":"","textAlign":"justify","textIndent":true,"textMark":[{"_":"font_size","value":"14pt"}]},"content":[{"attrs":{},"marks":[{"_":"font_size","value":"14pt"},{"_":"font_family","value":"Times New Roman"}],"text":"Наиболее перспективные потребители (в порядке убывания).","type":"text"}],"type":"paragraph"},{"attrs":{"lineHeight":"1","paddingBottom":"","paddingLeft":"0pt","paddingTop":"","textAlign":"justify","textIndent":true,"textMark":[{"_":"font_size","value":"14pt"}]},"content":[{"attrs":{},"marks":[{"_":"font_size","value":"14pt"},{"_":"font_family","value":"Times New Roman"}],"text":"Рыночная доля предприятия (текущая и планируемая на период реализации проекта).","type":"text"}],"type":"paragraph"},{"attrs":{"lineHeight":"1","paddingBottom":"","paddingLeft":"0pt","paddingTop":"","textAlign":"justify","textIndent":true,"textMark":[{"_":"font_size","value":"14pt"}]},"content":[{"attrs":{},"marks":[{"_":"font_size","value":"14pt"},{"_":"font_family","value":"Times New Roman"}],"text":" Наличие договоров на сбыт продукции – привести в приложениях ","type":"text"},{"attrs":{},"marks":[{"_":"font_size","value":"14pt"}],"type":"hard_break"},{"attrs":{},"marks":[{"_":"font_size","value":"14pt"},{"_":"font_family","value":"Times New Roman"}],"text":"к бизнес-плану.","type":"text"}],"type":"paragraph"},{"attrs":{"lineHeight":"","paddingBottom":"","paddingLeft":"","paddingTop":"","textAlign":"","textMark":[{"_":"font_size","value":"14pt"}]},"content":[{"attrs":{},"marks":[{"_":"font_size","value":"14pt"}],"text":" ","type":"text"}],"type":"paragraph"},{"attrs":{"order":1},"content":[{"attrs":{"listMarks":[{"_":"font_size","value":"14pt"}]},"content":[{"attrs":{"lineHeight":"1","paddingBottom":"","paddingLeft":"18pt","paddingTop":"","textAlign":"center","textMark":[{"_":"font_size","value":"14pt"}]},"content":[{"attrs":{},"marks":[{"_":"font_size","value":"14pt"},{"_":"font_family","value":"Times New Roman"},{"_":"strong"}],"text":"План продаж, стратегия и маркетинг","type":"text"}],"type":"paragraph"}],"type":"list_item"}],"type":"ordered_list"},{"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Roman"}],"text":"В данном разделе должны быть отражены целевая динамика объема продаж (целевой интенсивности эксплуатации) и прогнозной доли рынка, ","type":"text"},{"attrs":{},"marks":[{"_":"font_size","value":"14pt"}],"type":"hard_break"},{"attrs":{},"marks":[{"_":"font_size","value":"14pt"},{"_":"font_family","value":"Times New Roman"}],"text":"а также стратегия по их достижению, в том числе стратегия конкурентной борьбы. ","type":"text"}],"type":"paragraph"},{"attrs":{"lineHeight":"1","paddingBottom":"","paddingLeft":"0pt","paddingTop":"","textAlign":"justify","textIndent":true,"textMark":[{"_":"font_size","value":"14pt"}]},"content":[{"attrs":{},"marks":[{"_":"font_size","value":"14pt"},{"_":"font_family","value":"Times New Roman"}],"text":"В разделе необходимо: ","type":"text"}],"type":"paragraph"},{"attrs":{},"content":[{"attrs":{"listMarks":[{"_":"font_size","value":"14pt"}]},"content":[{"attrs":{"lineHeight":"1","paddingBottom":"","paddingLeft":"18pt","paddingTop":"","textAlign":"justify","textMark":[{"_":"font_size","value":"14pt"}]},"content":[{"attrs":{},"marks":[{"_":"font_size","value":"14pt"},{"_":"font_family","value":"Times New Roman"}],"text":"привести прогнозный объем продаж (интенсивности эксплуатации) ","type":"text"},{"attrs":{},"marks":[{"_":"font_size","value":"14pt"}],"type":"hard_break"},{"attrs":{},"marks":[{"_":"font_size","value":"14pt"},{"_":"font_family","value":"Times New Roman"}],"text":"в натуральных единицах, прогнозные отпускные цены (тарифы) и/или прогноз выручки от реализации в денежном выражении по проекту – с учетом анализа, произведенного в разделе анализа рынка; ","type":"text"}],"type":"paragraph"}],"type":"list_item"},{"attrs":{"listMarks":[{"_":"font_size","value":"14pt"}]},"content":[{"attrs":{"lineHeight":"1","paddingBottom":"","paddingLeft":"18pt","paddingTop":"","textAlign":"justify","textMark":[{"_":"font_size","value":"14pt"}]},"content":[{"attrs":{},"marks":[{"_":"font_size","value":"14pt"},{"_":"font_family","value":"Times New Roman"}],"text":"описать стратегию маркетинга по проекту, к примеру: расширенную концепцию продукта (анализ возможностей дифференцирования продукта ","type":"text"},{"attrs":{},"marks":[{"_":"font_size","value":"14pt"}],"type":"hard_break"},{"attrs":{},"marks":[{"_":"font_size","value":"14pt"},{"_":"font_family","value":"Times New Roman"}],"text":"с целью увеличения ценности продукта для потребителя, в том числе путем улучшения дизайна, добавления дополнительных услуг, использования торговой марки и т.п.), стратегию ценообразования, политику дистрибуции (выбор каналов продаж) и стимулирования сбыта (в том числе при отклонении фактических объемов продаж от целевых); ","type":"text"}],"type":"paragraph"}],"type":"list_item"},{"attrs":{"listMarks":[{"_":"font_size","value":"14pt"}]},"content":[{"attrs":{"lineHeight":"1","paddingBottom":"","paddingLeft":"18pt","paddingTop":"","textAlign":"justify","textMark":[{"_":"font_size","value":"14pt"}]},"content":[{"attrs":{},"marks":[{"_":"font_size","value":"14pt"},{"_":"font_family","value":"Times New Roman"}],"text":"указать текущую и прогнозную долю компании на рынке (в случае, если предполагается увеличение доли рынка); ","type":"text"}],"type":"paragraph"}],"type":"list_item"},{"attrs":{"listMarks":[{"_":"font_size","value":"14pt"}]},"content":[{"attrs":{"lineHeight":"1","paddingBottom":"","paddingLeft":"18pt","paddingTop":"","textAlign":"justify","textMark":[{"_":"font_size","value":"14pt"}]},"content":[{"attrs":{},"marks":[{"_":"font_size","value":"14pt"},{"_":"font_family","value":"Times New Roman"}],"text":"описать стратегию конкурентной борьбы (проникновение на рынок, увеличение или удержания целевой доли рынка). Если возможно дифференцирование продукта требуется привести сравнительный конкурентный анализ продукта, который планируется к выпуску по проекту (преимущества ","type":"text"},{"attrs":{},"marks":[{"_":"font_size","value":"14pt"}],"type":"hard_break"},{"attrs":{},"marks":[{"_":"font_size","value":"14pt"},{"_":"font_family","value":"Times New Roman"}],"text":"и недостатки по сравнению с продуктами конкурентов). В случае олигополистической структуры рынка (наличии нескольких крупных игроков), требуется дать сравнительный анализ стратегий конкурентов и учесть их при выработке стратегии маркетинга по проекту. ","type":"text"}],"type":"paragraph"}],"type":"list_item"}],"type":"bullet_list"},{"attrs":{"lineHeight":"1","paddingBottom":"","paddingLeft":"0pt","paddingTop":"","textAlign":"justify","textIndent":true,"textMark":[{"_":"font_size","value":"14pt"}]},"content":[{"attrs":{},"marks":[{"_":"font_size","value":"14pt"},{"_":"font_family","value":"Times New Roman"}],"text":"В случае если проект относится к инновационным необходимо проработать вопрос о юридической защите интеллектуальных прав собственности на продукт (технологию). ","type":"text"}],"type":"paragraph"},{"attrs":{"lineHeight":"1","paddingBottom":"","paddingLeft":"0pt","paddingTop":"","textAlign":"justify","textIndent":true,"textMark":[{"_":"font_size","value":"14pt"}]},"content":[{"attrs":{},"marks":[{"_":"font_size","value":"14pt"},{"_":"font_family","value":"Times New Roman"}],"text":"Если целью инвестиционного проекта является строительство заранее определенного количества объектов (производственных мощностей), которые будут реализованы заранее определенному заказчику, с которым достигнуто предварительное соглашение (заключен договор) о приобретении объектов (производственных мощностей), стратегию маркетинга и план продаж рекомендуется заменить согласованным предположительным графиком ввода мощностей и передачи (реализации) объектов.","type":"text"}],"type":"paragraph"},{"attrs":{"lineHeight":"","paddingBottom":"","paddingLeft":"","paddingTop":"","textAlign":"","textMark":[{"_":"font_size","value":"14pt"}]},"content":[{"attrs":{},"marks":[{"_":"font_size","value":"14pt"}],"text":" ","type":"text"}],"type":"paragraph"},{"attrs":{"order":1},"content":[{"attrs":{"listMarks":[{"_":"font_size","value":"14pt"}]},"content":[{"attrs":{"lineHeight":"1","paddingBottom":"","paddingLeft":"18pt","paddingTop":"","textAlign":"center","textMark":[{"_":"font_size","value":"14pt"}]},"content":[{"attrs":{},"marks":[{"_":"font_size","value":"14pt"},{"_":"font_family","value":"Times New Roman"},{"_":"strong"}],"text":"Анализ доступности ресурсов","type":"text"}],"type":"paragraph"}],"type":"list_item"}],"type":"ordered_list"},{"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Roman"}],"text":"В данном разделе необходимо провести анализ материальных, организационных, человеческих и иных ресурсов, которые требуются ","type":"text"},{"attrs":{},"marks":[{"_":"font_size","value":"14pt"}],"type":"hard_break"},{"attrs":{},"marks":[{"_":"font_size","value":"14pt"},{"_":"font_family","value":"Times New Roman"}],"text":"для реализации проекта. ","type":"text"}],"type":"paragraph"},{"attrs":{"lineHeight":"1","paddingBottom":"","paddingLeft":"0pt","paddingTop":"","textAlign":"justify","textIndent":true,"textMark":[{"_":"font_size","value":"14pt"}]},"content":[{"attrs":{},"marks":[{"_":"font_size","value":"14pt"},{"_":"font_family","value":"Times New Roman"}],"text":"Необходимо отметить, какие ресурсы уже имеются у основных участников проекта и какие ресурсы будет необходимо привлечь дополнительно при реализации проекта (производственная/строительная площадка; инфраструктура (энерго-, тепло-, водоснабжение, транспорт и т.д.); машины и оборудование; сырье, материалы, энергия, комплектующие; услуги и работы подрядчиков; трудовые ресурсы/персонал; управленческий ресурс и т.д.). ","type":"text"}],"type":"paragraph"},{"attrs":{"lineHeight":"1","paddingBottom":"","paddingLeft":"0pt","paddingTop":"","textAlign":"justify","textIndent":true,"textMark":[{"_":"font_size","value":"14pt"}]},"content":[{"attrs":{},"marks":[{"_":"font_size","value":"14pt"},{"_":"font_family","value":"Times New Roman"}],"text":"Необходимо привести в бизнес-плане: ","type":"text"}],"type":"paragraph"},{"attrs":{},"content":[{"attrs":{"listMarks":[{"_":"font_size","value":"14pt"}]},"content":[{"attrs":{"lineHeight":"1","paddingBottom":"","paddingLeft":"18pt","paddingTop":"","textAlign":"justify","textMark":[{"_":"font_size","value":"14pt"}]},"content":[{"attrs":{},"marks":[{"_":"font_size","value":"14pt"},{"_":"font_family","value":"Times New Roman"}],"text":"анализ производственной/строительной площадки (в случае ее необходимости для реализации проекта), который должен включать: расположение, в том числе близость к рынку сбыта и сырья; достаточность площади; наличие и качество прилегающей инфраструктуры и коммуникаций, ","type":"text"},{"attrs":{},"marks":[{"_":"font_size","value":"14pt"}],"type":"hard_break"},{"attrs":{},"marks":[{"_":"font_size","value":"14pt"},{"_":"font_family","value":"Times New Roman"}],"text":"в том числе складских помещений; степень изношенности здания ","type":"text"},{"attrs":{},"marks":[{"_":"font_size","value":"14pt"}],"type":"hard_break"},{"attrs":{},"marks":[{"_":"font_size","value":"14pt"},{"_":"font_family","value":"Times New Roman"}],"text":"и коммуникаций; требуемые изменения и улучшения; иные важные характеристики, которые обусловили ее выбор; ","type":"text"}],"type":"paragraph"}],"type":"list_item"},{"attrs":{"listMarks":[{"_":"font_size","value":"14pt"}]},"content":[{"attrs":{"lineHeight":"1","paddingBottom":"","paddingLeft":"18pt","paddingTop":"","textAlign":"justify","textMark":[{"_":"font_size","value":"14pt"}]},"content":[{"attrs":{},"marks":[{"_":"font_size","value":"14pt"},{"_":"font_family","value":"Times New Roman"}],"text":"если проект относится к категории создания нового предприятия /производства/объекта с «нуля», информацию о том, как предполагается обеспечить устойчивое материально-техническое снабжение (указать предполагаемых поставщиков и их местоположение); ","type":"text"}],"type":"paragraph"}],"type":"list_item"},{"attrs":{"listMarks":[{"_":"font_size","value":"14pt"}]},"content":[{"attrs":{"lineHeight":"1","paddingBottom":"","paddingLeft":"18pt","paddingTop":"","textAlign":"justify","textMark":[{"_":"font_size","value":"14pt"}]},"content":[{"attrs":{},"marks":[{"_":"font_size","value":"14pt"},{"_":"font_family","value":"Times New Roman"}],"text":"анализ управленческих ресурсов проекта (резюме команды основных руководителей и разработчиков должны быть приложены к бизнес-плану), ","type":"text"},{"attrs":{},"marks":[{"_":"font_size","value":"14pt"}],"type":"hard_break"},{"attrs":{},"marks":[{"_":"font_size","value":"14pt"},{"_":"font_family","value":"Times New Roman"}],"text":"а также обосновать заинтересованность управленцев и разработчиков ","type":"text"},{"attrs":{},"marks":[{"_":"font_size","value":"14pt"}],"type":"hard_break"},{"attrs":{},"marks":[{"_":"font_size","value":"14pt"},{"_":"font_family","value":"Times New Roman"}],"text":"в успешной реализации проекта (к примеру, через передачу части акций/долей Получателя средств в собственность, использование опционных схем и иных схем компенсации (оплаты труда) и т.д.). ","type":"text"}],"type":"paragraph"}],"type":"list_item"}],"type":"bullet_list"},{"attrs":{"lineHeight":"1","paddingBottom":"","paddingLeft":"0pt","paddingTop":"","textAlign":"justify","textIndent":true,"textMark":[{"_":"font_size","value":"14pt"}]},"content":[{"attrs":{},"marks":[{"_":"font_size","value":"14pt"},{"_":"font_family","value":"Times New Roman"}],"text":"Необходимо: ","type":"text"}],"type":"paragraph"},{"attrs":{},"content":[{"attrs":{"listMarks":[{"_":"font_size","value":"14pt"}]},"content":[{"attrs":{"lineHeight":"1","paddingBottom":"","paddingLeft":"18pt","paddingTop":"","textAlign":"justify","textMark":[{"_":"font_size","value":"14pt"}]},"content":[{"attrs":{},"marks":[{"_":"font_size","value":"14pt"},{"_":"font_family","value":"Times New Roman"}],"text":"выделить ключевые ресурсы и провести анализ соответствующих ресурсных рынков, в том числе проанализировать текущие и прогнозные объемы спроса и предложения ресурсов, рыночную структуру, динамику цен; ","type":"text"}],"type":"paragraph"}],"type":"list_item"},{"attrs":{"listMarks":[{"_":"font_size","value":"14pt"}]},"content":[{"attrs":{"lineHeight":"1","paddingBottom":"","paddingLeft":"18pt","paddingTop":"","textAlign":"justify","textMark":[{"_":"font_size","value":"14pt"}]},"content":[{"attrs":{},"marks":[{"_":"font_size","value":"14pt"},{"_":"font_family","value":"Times New Roman"}],"text":"если производство является трудоемким или основным продуктом ","type":"text"},{"attrs":{},"marks":[{"_":"font_size","value":"14pt"}],"type":"hard_break"},{"attrs":{},"marks":[{"_":"font_size","value":"14pt"},{"_":"font_family","value":"Times New Roman"}],"text":"по проекту являются услуги или работы, можно выделить анализ трудовых ресурсов в отдельный раздел или приложение, в котором описать: ","type":"text"}],"type":"paragraph"}],"type":"list_item"},{"attrs":{"listMarks":[{"_":"font_size","value":"14pt"}]},"content":[{"attrs":{"lineHeight":"1","paddingBottom":"","paddingLeft":"18pt","paddingTop":"","textAlign":"justify","textMark":[{"_":"font_size","value":"14pt"}]},"content":[{"attrs":{},"marks":[{"_":"font_size","value":"14pt"},{"_":"font_family","value":"Times New Roman"}],"text":"необходимый для реализации проекта персонал, в том числе количество персонала по категориям, необходимые навыки и квалификацию, предполагаемый уровень заработной платы; ","type":"text"}],"type":"paragraph"}],"type":"list_item"},{"attrs":{"listMarks":[{"_":"font_size","value":"14pt"}]},"content":[{"attrs":{"lineHeight":"1","paddingBottom":"","paddingLeft":"18pt","paddingTop":"","textAlign":"justify","textMark":[{"_":"font_size","value":"14pt"}]},"content":[{"attrs":{},"marks":[{"_":"font_size","value":"14pt"},{"_":"font_family","value":"Times New Roman"}],"text":"имеющийся персонал (в случае его наличия), в том числе состав ","type":"text"},{"attrs":{},"marks":[{"_":"font_size","value":"14pt"}],"type":"hard_break"},{"attrs":{},"marks":[{"_":"font_size","value":"14pt"},{"_":"font_family","value":"Times New Roman"}],"text":"и квалификацию, потребность в обучении, текучесть кадров, уровень оплаты труда.","type":"text"}],"type":"paragraph"}],"type":"list_item"}],"type":"bullet_list"},{"attrs":{"lineHeight":"","paddingBottom":"","paddingLeft":"","paddingTop":"","textAlign":"","textMark":[{"_":"font_size","value":"14pt"}]},"content":[{"attrs":{},"marks":[{"_":"font_size","value":"14pt"}],"text":" ","type":"text"}],"type":"paragraph"},{"attrs":{"order":1},"content":[{"attrs":{"listMarks":[{"_":"font_size","value":"14pt"}]},"content":[{"attrs":{"lineHeight":"1","paddingBottom":"","paddingLeft":"18pt","paddingTop":"","textAlign":"center","textMark":[{"_":"font_size","value":"14pt"}]},"content":[{"attrs":{},"marks":[{"_":"font_size","value":"14pt"},{"_":"font_family","value":"Times New Roman"},{"_":"strong"}],"text":"Воздействие проекта на окружающую среду и устойчивое развитие","type":"text"}],"type":"paragraph"}],"type":"list_item"}],"type":"ordered_list"},{"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Roman"}],"text":"В данном разделе указывается следующая информация:","type":"text"}],"type":"paragraph"},{"attrs":{},"content":[{"attrs":{"listMarks":[{"_":"font_size","value":"14pt"}]},"content":[{"attrs":{"lineHeight":"1","paddingBottom":"","paddingLeft":"18pt","paddingTop":"","textAlign":"justify","textMark":[{"_":"font_size","value":"14pt"}]},"content":[{"attrs":{},"marks":[{"_":"font_size","value":"14pt"},{"_":"font_family","value":"Times New Roman"}],"text":"данные о воздействии проекта на окружающую среду и о соответствии проекта экологическому законодательству, действующему на территории страны реализации проекта;","type":"text"}],"type":"paragraph"}],"type":"list_item"},{"attrs":{"listMarks":[{"_":"font_size","value":"14pt"}]},"content":[{"attrs":{"lineHeight":"1","paddingBottom":"","paddingLeft":"18pt","paddingTop":"","textAlign":"justify","textMark":[{"_":"font_size","value":"14pt"}]},"content":[{"attrs":{},"marks":[{"_":"font_size","value":"14pt"},{"_":"font_family","value":"Times New Roman"}],"text":"наличие в составе проекта объектов государственной экологической экспертизы и государственной экспертизы проектной документации, ","type":"text"},{"attrs":{},"marks":[{"_":"font_size","value":"14pt"}],"type":"hard_break"},{"attrs":{},"marks":[{"_":"font_size","value":"14pt"},{"_":"font_family","value":"Times New Roman"}],"text":"их перечень,","type":"text"}],"type":"paragraph"}],"type":"list_item"},{"attrs":{"listMarks":[{"_":"font_size","value":"14pt"}]},"content":[{"attrs":{"lineHeight":"1","paddingBottom":"","paddingLeft":"18pt","paddingTop":"","textAlign":"justify","textMark":[{"_":"font_size","value":"14pt"}]},"content":[{"attrs":{},"marks":[{"_":"font_size","value":"14pt"},{"_":"font_family","value":"Times New Roman"}],"text":"перечень стандартов и нормативных документов в области экологии ","type":"text"},{"attrs":{},"marks":[{"_":"font_size","value":"14pt"}],"type":"hard_break"},{"attrs":{},"marks":[{"_":"font_size","value":"14pt"},{"_":"font_family","value":"Times New Roman"}],"text":"в стране реализации проекта (кроме Российской Федерации), ","type":"text"}],"type":"paragraph"}],"type":"list_item"},{"attrs":{"listMarks":[{"_":"font_size","value":"14pt"}]},"content":[{"attrs":{"lineHeight":"1","paddingBottom":"","paddingLeft":"18pt","paddingTop":"","textAlign":"justify","textMark":[{"_":"font_size","value":"14pt"}]},"content":[{"attrs":{},"marks":[{"_":"font_size","value":"14pt"},{"_":"font_family","value":"Times New Roman"}],"text":"результаты государственной экологической экспертизы, государственной экспертизы проектной документации, независимой экологической экспертизы, иных мероприятий по проверке соответствия проекта требованиям охраны окружающей среды (если они проводились) либо план-график их получения (при отсутствии заключений к началу экспертизы проекта), ","type":"text"}],"type":"paragraph"}],"type":"list_item"},{"attrs":{"listMarks":[{"_":"font_size","value":"14pt"}]},"content":[{"attrs":{"lineHeight":"1","paddingBottom":"","paddingLeft":"18pt","paddingTop":"","textAlign":"justify","textMark":[{"_":"font_size","value":"14pt"}]},"content":[{"attrs":{},"marks":[{"_":"font_size","value":"14pt"},{"_":"font_family","value":"Times New Roman"}],"text":"показатели эффективности использования природных ресурсов (экологической эффективности), методика их расчета,","type":"text"}],"type":"paragraph"}],"type":"list_item"},{"attrs":{"listMarks":[{"_":"font_size","value":"14pt"}]},"content":[{"attrs":{"lineHeight":"1","paddingBottom":"","paddingLeft":"18pt","paddingTop":"","textAlign":"justify","textMark":[{"_":"font_size","value":"14pt"}]},"content":[{"attrs":{},"marks":[{"_":"font_size","value":"14pt"},{"_":"font_family","value":"Times New Roman"}],"text":"выводы о показателях экологической эффективности с учетом среднеотраслевых значений и показателей в динамике реализации проекта, ","type":"text"}],"type":"paragraph"}],"type":"list_item"},{"attrs":{"listMarks":[{"_":"font_size","value":"14pt"}]},"content":[{"attrs":{"lineHeight":"1","paddingBottom":"","paddingLeft":"18pt","paddingTop":"","textAlign":"justify","textMark":[{"_":"font_size","value":"14pt"}]},"content":[{"attrs":{},"marks":[{"_":"font_size","value":"14pt"},{"_":"font_family","value":"Times New Roman"}],"text":"описание планируемых мероприятий по охране окружающей среды, повышению эффективности использования природных ресурсов, улучшению экологической обстановки (с указанием стоимости мероприятий и плана-графика их реализации).","type":"text"}],"type":"paragraph"}],"type":"list_item"}],"type":"bullet_list"},{"attrs":{"lineHeight":"","paddingBottom":"","paddingLeft":"","paddingTop":"","textAlign":"","textMark":[{"_":"font_size","value":"14pt"}]},"content":[{"attrs":{},"marks":[{"_":"font_size","value":"14pt"}],"text":" ","type":"text"}],"type":"paragraph"},{"attrs":{"order":1},"content":[{"attrs":{"listMarks":[{"_":"font_size","value":"14pt"}]},"content":[{"attrs":{"lineHeight":"1","paddingBottom":"","paddingLeft":"18pt","paddingTop":"","textAlign":"center","textMark":[{"_":"font_size","value":"14pt"}]},"content":[{"attrs":{},"marks":[{"_":"font_size","value":"14pt"},{"_":"font_family","value":"Times New Roman"},{"_":"strong"}],"text":"Организационный план","type":"text"}],"type":"paragraph"}],"type":"list_item"}],"type":"ordered_list"},{"attrs":{"lineHeight":"","paddingBottom":"","paddingLeft":"","paddingTop":"","textAlign":"","textMark":[{"_":"font_size","value":"14pt"}]},"content":[{"attrs":{},"marks":[{"_":"font_size","value":"14pt"}],"text":" ","type":"text"}],"type":"paragraph"},{"attrs":{"order":1},"content":[{"attrs":{"listMarks":[]},"content":[{"attrs":{"order":1},"content":[{"attrs":{"listMarks":[{"_":"font_size","value":"14pt"}]},"content":[{"attrs":{"lineHeight":"1","paddingBottom":"","paddingLeft":"18pt","paddingTop":"","textAlign":"justify","textMark":[{"_":"font_size","value":"14pt"}]},"content":[{"attrs":{},"marks":[{"_":"font_size","value":"14pt"},{"_":"font_family","value":"Times New Roman"},{"_":"strong"}],"text":"Организационно-правовая форма","type":"text"},{"attrs":{},"marks":[{"_":"font_size","value":"14pt"},{"_":"font_family","value":"Times New Roman"}],"text":" реализации проекта (идентификация Оператора и Заемщика проекта).","type":"text"}],"type":"paragraph"}],"type":"list_item"}],"type":"ordered_list"}],"type":"list_item"}],"type":"ordered_list"},{"attrs":{"lineHeight":"1","paddingBottom":"","paddingLeft":"0pt","paddingTop":"","textAlign":"justify","textIndent":true,"textMark":[{"_":"font_size","value":"14pt"}]},"content":[{"attrs":{},"marks":[{"_":"font_size","value":"14pt"},{"_":"font_family","value":"Times New Roman"},{"_":"strong"}],"text":"Оператор проекта ","type":"text"},{"attrs":{},"marks":[{"_":"font_size","value":"14pt"},{"_":"font_family","value":"Times New Roman"}],"text":"– юридическое лицо, которому предстоит осуществлять проект. Оператором может быть специально созданная ","type":"text"},{"attrs":{},"marks":[{"_":"font_size","value":"14pt"}],"type":"hard_break"},{"attrs":{},"marks":[{"_":"font_size","value":"14pt"},{"_":"font_family","value":"Times New Roman"}],"text":"для реализации проекта компания. Как правило, Оператор является Заемщиком по проекту. Кроме того, одно и то же юридическое лицо зачастую является Инициатором, Оператором и Заемщиком одновременно.","type":"text"}],"type":"paragraph"},{"attrs":{"lineHeight":"1","paddingBottom":"","paddingLeft":"0pt","paddingTop":"","textAlign":"justify","textIndent":true,"textMark":[{"_":"font_size","value":"14pt"}]},"content":[{"attrs":{},"marks":[{"_":"font_size","value":"14pt"},{"_":"font_family","value":"Times New Roman"}],"text":"В случае несовпадения Оператора/Заемщика проекта с Инициатором необходимо подробно описать схему реализации проекта (при необходимости указать участника проекта, выполняющего функцию Гаранта ","type":"text"},{"attrs":{},"marks":[{"_":"font_size","value":"14pt"}],"type":"hard_break"},{"attrs":{},"marks":[{"_":"font_size","value":"14pt"},{"_":"font_family","value":"Times New Roman"}],"text":"или Поручителя) и привести данные по Оператору/Заемщику в соответствии ","type":"text"},{"attrs":{},"marks":[{"_":"font_size","value":"14pt"}],"type":"hard_break"},{"attrs":{},"marks":[{"_":"font_size","value":"14pt"},{"_":"font_family","value":"Times New Roman"}],"text":"с разделом 2 настоящих Требований (для действующих компаний).","type":"text"}],"type":"paragraph"},{"attrs":{"lineHeight":"1","paddingBottom":"","paddingLeft":"0pt","paddingTop":"","textAlign":"justify","textIndent":true,"textMark":[{"_":"font_size","value":"14pt"}]},"content":[{"attrs":{},"marks":[{"_":"font_size","value":"14pt"},{"_":"font_family","value":"Times New Roman"},{"_":"strong"}],"text":"Для новой, специально создающейся для реализации проекта компании, ","type":"text"},{"attrs":{},"marks":[{"_":"font_size","value":"14pt"},{"_":"font_family","value":"Times New Roman"}],"text":"необходимо привести следующие фактические или плановые данные:","type":"text"}],"type":"paragraph"},{"attrs":{},"content":[{"attrs":{"listMarks":[{"_":"font_size","value":"14pt"}]},"content":[{"attrs":{"lineHeight":"1","paddingBottom":"","paddingLeft":"18pt","paddingTop":"","textAlign":"justify","textMark":[{"_":"font_size","value":"14pt"}]},"content":[{"attrs":{},"marks":[{"_":"font_size","value":"14pt"},{"_":"font_family","value":"Times New Roman"}],"text":"организационно-правовая форма, наименование, адрес и дата регистрации (начала работы); руководство: Ф.И.О. и должности ключевых руководителей предприятия, которые относятся к числу лиц, принимающих решения;","type":"text"}],"type":"paragraph"}],"type":"list_item"},{"attrs":{"listMarks":[{"_":"font_size","value":"14pt"}]},"content":[{"attrs":{"lineHeight":"1","paddingBottom":"","paddingLeft":"18pt","paddingTop":"","textAlign":"justify","textMark":[{"_":"font_size","value":"14pt"}]},"content":[{"attrs":{},"marks":[{"_":"font_size","value":"14pt"},{"_":"font_family","value":"Times New Roman"}],"text":"телефон, факс, адрес электронной почты, адрес официального сайта ","type":"text"},{"attrs":{},"marks":[{"_":"font_size","value":"14pt"}],"type":"hard_break"},{"attrs":{},"marks":[{"_":"font_size","value":"14pt"},{"_":"font_family","value":"Times New Roman"}],"text":"в информационно-коммуникационной сети «Интернет»;","type":"text"}],"type":"paragraph"}],"type":"list_item"},{"attrs":{"listMarks":[{"_":"font_size","value":"14pt"}]},"content":[{"attrs":{"lineHeight":"1","paddingBottom":"","paddingLeft":"18pt","paddingTop":"","textAlign":"justify","textMark":[{"_":"font_size","value":"14pt"}]},"content":[{"attrs":{},"marks":[{"_":"font_size","value":"14pt"},{"_":"font_family","value":"Times New Roman"}],"text":"размер уставного (акционерного) капитала. Количество и номинал выпущенных акций, в том числе обыкновенных и привилегированных;","type":"text"}],"type":"paragraph"}],"type":"list_item"},{"attrs":{"listMarks":[{"_":"font_size","value":"14pt"}]},"content":[{"attrs":{"lineHeight":"1","paddingBottom":"","paddingLeft":"18pt","paddingTop":"","textAlign":"justify","textMark":[{"_":"font_size","value":"14pt"}]},"content":[{"attrs":{},"marks":[{"_":"font_size","value":"14pt"},{"_":"font_family","value":"Times New Roman"}],"text":"доля оплаченного капитала;","type":"text"}],"type":"paragraph"}],"type":"list_item"},{"attrs":{"listMarks":[{"_":"font_size","value":"14pt"}]},"content":[{"attrs":{"lineHeight":"1","paddingBottom":"","paddingLeft":"18pt","paddingTop":"","textAlign":"justify","textMark":[{"_":"font_size","value":"14pt"}]},"content":[{"attrs":{},"marks":[{"_":"font_size","value":"14pt"},{"_":"font_family","value":"Times New Roman"}],"text":"количество и номинал объявленных акций;","type":"text"}],"type":"paragraph"}],"type":"list_item"},{"attrs":{"listMarks":[{"_":"font_size","value":"14pt"}]},"content":[{"attrs":{"lineHeight":"1","paddingBottom":"","paddingLeft":"18pt","paddingTop":"","textAlign":"justify","textMark":[{"_":"font_size","value":"14pt"}]},"content":[{"attrs":{},"marks":[{"_":"font_size","value":"14pt"},{"_":"font_family","value":"Times New Roman"}],"text":"перечень учредителей (акционеров), с указанием их долей в капитале; принципиальные особые положения устава.","type":"text"}],"type":"paragraph"}],"type":"list_item"},{"attrs":{"listMarks":[{"_":"font_size","value":"14pt"}]},"content":[{"attrs":{"lineHeight":"1","paddingBottom":"","paddingLeft":"18pt","paddingTop":"","textAlign":"justify","textMark":[{"_":"font_size","value":"14pt"}]},"content":[{"attrs":{},"marks":[{"_":"font_size","value":"14pt"},{"_":"font_family","value":"Times New Roman"}],"text":"организационная структура управления предприятием (схема).","type":"text"}],"type":"paragraph"}],"type":"list_item"},{"attrs":{"listMarks":[{"_":"font_size","value":"14pt"}]},"content":[{"attrs":{"lineHeight":"1","paddingBottom":"","paddingLeft":"18pt","paddingTop":"","textAlign":"justify","textMark":[{"_":"font_size","value":"14pt"}]},"content":[{"attrs":{},"marks":[{"_":"font_size","value":"14pt"},{"_":"font_family","value":"Times New Roman"}],"text":"производственная структура предприятия (схема).","type":"text"}],"type":"paragraph"}],"type":"list_item"},{"attrs":{"listMarks":[{"_":"font_size","value":"14pt"}]},"content":[{"attrs":{"lineHeight":"1","paddingBottom":"","paddingLeft":"18pt","paddingTop":"","textAlign":"justify","textMark":[{"_":"font_size","value":"14pt"}]},"content":[{"attrs":{},"marks":[{"_":"font_size","value":"14pt"},{"_":"font_family","value":"Times New Roman"}],"text":"трудовые ресурсы и заработная плата:","type":"text"}],"type":"paragraph"}],"type":"list_item"},{"attrs":{"listMarks":[{"_":"font_size","value":"14pt"}]},"content":[{"attrs":{"lineHeight":"1","paddingBottom":"","paddingLeft":"54pt","paddingTop":"","textAlign":"justify","textMark":[{"_":"font_size","value":"14pt"}]},"content":[{"attrs":{},"marks":[{"_":"font_size","value":"14pt"},{"_":"font_family","value":"Times New Roman"}],"text":"укрупненное штатное расписание (указать размер заработной платы ","type":"text"},{"attrs":{},"marks":[{"_":"font_size","value":"14pt"}],"type":"hard_break"},{"attrs":{},"marks":[{"_":"font_size","value":"14pt"},{"_":"font_family","value":"Times New Roman"}],"text":"без отчислений на социальные нужды, а также налогов, начисляемых с фонда оплаты труда);","type":"text"}],"type":"paragraph"}],"type":"list_item"},{"attrs":{"listMarks":[{"_":"font_size","value":"14pt"}]},"content":[{"attrs":{"lineHeight":"1","paddingBottom":"","paddingLeft":"54pt","paddingTop":"","textAlign":"justify","textMark":[{"_":"font_size","value":"14pt"}]},"content":[{"attrs":{},"marks":[{"_":"font_size","value":"14pt"},{"_":"font_family","value":"Times New Roman"}],"text":"обеспеченность персоналом (административно-управленческий, сбытовой, производственный основной и вспомогательный);","type":"text"}],"type":"paragraph"}],"type":"list_item"},{"attrs":{"listMarks":[{"_":"font_size","value":"14pt"}]},"content":[{"attrs":{"lineHeight":"1","paddingBottom":"","paddingLeft":"54pt","paddingTop":"","textAlign":"justify","textMark":[{"_":"font_size","value":"14pt"}]},"content":[{"attrs":{},"marks":[{"_":"font_size","value":"14pt"},{"_":"font_family","value":"Times New Roman"}],"text":"план найма и подготовки персонала.","type":"text"}],"type":"paragraph"},{"attrs":{"order":1},"content":[{"attrs":{"listMarks":[{"_":"font_size","value":"14pt"}]},"content":[{"attrs":{"lineHeight":"1","paddingBottom":"","paddingLeft":"18pt","paddingTop":"","textAlign":"justify","textMark":[{"_":"font_size","value":"14pt"}]},"content":[{"attrs":{},"marks":[{"_":"font_size","value":"14pt"},{"_":"font_family","value":"Times New Roman"},{"_":"strong"}],"text":"Основные партнеры: ","type":"text"},{"attrs":{},"marks":[{"_":"font_size","value":"14pt"},{"_":"font_family","value":"Times New Roman"}],"text":"подрядчики, поставщики, покупатели продукции и др. Наименование (если партнер определен). ","type":"text"}],"type":"paragraph"}],"type":"list_item"}],"type":"ordered_list"}],"type":"list_item"}],"type":"bullet_list"},{"attrs":{"lineHeight":"1","paddingBottom":"","paddingLeft":"0pt","paddingTop":"","textAlign":"justify","textIndent":true,"textMark":[{"_":"font_size","value":"14pt"}]},"content":[{"attrs":{},"marks":[{"_":"font_size","value":"14pt"},{"_":"font_family","value":"Times New Roman"}],"text":"Ожидаемое участие (совместное предприятие; финансовое участие; передача технологии; поставка/аренда оборудования; проектирование; строительство/аренда зданий и сооружений; поставка сырья, материалов ","type":"text"},{"attrs":{},"marks":[{"_":"font_size","value":"14pt"}],"type":"hard_break"},{"attrs":{},"marks":[{"_":"font_size","value":"14pt"},{"_":"font_family","value":"Times New Roman"}],"text":"и комплектующих; доступ к рынку; сбыт; другое).","type":"text"}],"type":"paragraph"},{"attrs":{"lineHeight":"1","paddingBottom":"","paddingLeft":"0pt","paddingTop":"","textAlign":"justify","textIndent":true,"textMark":[{"_":"font_size","value":"14pt"}]},"content":[{"attrs":{},"marks":[{"_":"font_size","value":"14pt"},{"_":"font_family","value":"Times New Roman"}],"text":"Наличие соответствующего контракта (договора) с партнером – привести в Приложениях к бизнес-плану.","type":"text"}],"type":"paragraph"},{"attrs":{"order":1},"content":[{"attrs":{"listMarks":[]},"content":[{"attrs":{"order":1},"content":[{"attrs":{"listMarks":[{"_":"font_size","value":"14pt"}]},"content":[{"attrs":{"lineHeight":"1","paddingBottom":"","paddingLeft":"18pt","paddingTop":"","textAlign":"justify","textMark":[{"_":"font_size","value":"14pt"}]},"content":[{"attrs":{},"marks":[{"_":"font_size","value":"14pt"},{"_":"font_family","value":"Times New Roman"},{"_":"strong"}],"text":"График реализации проекта","type":"text"}],"type":"paragraph"}],"type":"list_item"}],"type":"ordered_list"}],"type":"list_item"}],"type":"ordered_list"},{"attrs":{"lineHeight":"1","paddingBottom":"","paddingLeft":"0pt","paddingTop":"","textAlign":"justify","textIndent":true,"textMark":[{"_":"font_size","value":"14pt"}]},"content":[{"attrs":{},"marks":[{"_":"font_size","value":"14pt"},{"_":"font_family","value":"Times New Roman"}],"text":"Перечень этапов и форма представления графика реализации проекта приведены условно, в качестве примера.","type":"text"}],"type":"paragraph"},{"attrs":{"lineHeight":"1","paddingBottom":"","paddingLeft":"0pt","paddingTop":"","textAlign":"justify","textIndent":true,"textMark":[{"_":"font_size","value":"14pt"}]},"content":[{"attrs":{},"marks":[{"_":"font_size","value":"14pt"},{"_":"font_family","value":"Times New Roman"}],"text":"Указать календарные, либо относительные (от момента начала реализации проекта) даты начала и окончания этапов.","type":"text"}],"type":"paragraph"},{"attrs":{"lineHeight":"1","paddingBottom":"","paddingLeft":"-7.1pt","paddingTop":"","textAlign":"","textMark":[{"_":"font_size","value":"14pt"}]},"type":"paragraph"},{"attrs":{"lineHeight":"1","paddingBottom":"","paddingLeft":"0pt","paddingTop":"","textAlign":"justify","textIndent":true,"textMark":[{"_":"font_size","value":"14pt"}]},"content":[{"attrs":{},"marks":[{"_":"font_size","value":"14pt"}],"type":"hard_break"},{"attrs":{},"marks":[{"_":"font_size","value":"14pt"},{"_":"font_family","value":"Times New Roman"}],"text":"График реализации проекта требует подтверждения со стороны независимой надзорной компании (проведение входящего строительного аудита).","type":"text"}],"type":"paragraph"},{"attrs":{"order":1},"content":[{"attrs":{"listMarks":[]},"content":[{"attrs":{"order":1},"content":[{"attrs":{"listMarks":[{"_":"font_size","value":"14pt"}]},"content":[{"attrs":{"lineHeight":"1","paddingBottom":"","paddingLeft":"18pt","paddingTop":"","textAlign":"justify","textMark":[{"_":"font_size","value":"14pt"}]},"content":[{"attrs":{},"marks":[{"_":"font_size","value":"14pt"},{"_":"font_family","value":"Times New Roman"},{"_":"strong"}],"text":"Правовые вопросы осуществления проекта","type":"text"}],"type":"paragraph"}],"type":"list_item"}],"type":"ordered_list"}],"type":"list_item"}],"type":"ordered_list"},{"attrs":{"lineHeight":"1","paddingBottom":"","paddingLeft":"0pt","paddingTop":"","textAlign":"justify","textIndent":true,"textMark":[{"_":"font_size","value":"14pt"}]},"content":[{"attrs":{},"marks":[{"_":"font_size","value":"14pt"},{"_":"font_family","value":"Times New Roman"}],"text":"Перечень разрешительной документации, характеризующей специфику отдельных отраслей и дающих право на хозяйственную деятельность.","type":"text"}],"type":"paragraph"},{"attrs":{"lineHeight":"1","paddingBottom":"","paddingLeft":"0pt","paddingTop":"","textAlign":"justify","textIndent":true,"textMark":[{"_":"font_size","value":"14pt"}]},"content":[{"attrs":{},"marks":[{"_":"font_size","value":"14pt"},{"_":"font_family","value":"Times New Roman"}],"text":"Наличие соответствующей экспертизы градостроительной и проектно-сметной документации, а также утвержденного проекта строительства («Инструкция о порядке проведения государственной экспертизы проектов строительства» РДС 11-201-95, утвержденная постановлением Госстроя ","type":"text"},{"attrs":{},"marks":[{"_":"font_size","value":"14pt"}],"type":"hard_break"},{"attrs":{},"marks":[{"_":"font_size","value":"14pt"},{"_":"font_family","value":"Times New Roman"}],"text":"от 29.01.1998 № 18-10).","type":"text"}],"type":"paragraph"},{"attrs":{"lineHeight":"","paddingBottom":"","paddingLeft":"","paddingTop":"","textAlign":"","textMark":[{"_":"font_size","value":"14pt"}]},"content":[{"attrs":{},"marks":[{"_":"font_size","value":"14pt"}],"text":" ","type":"text"}],"type":"paragraph"},{"attrs":{"order":1},"content":[{"attrs":{"listMarks":[{"_":"font_size","value":"14pt"}]},"content":[{"attrs":{"lineHeight":"1","paddingBottom":"","paddingLeft":"18pt","paddingTop":"","textAlign":"center","textMark":[{"_":"font_size","value":"14pt"}]},"content":[{"attrs":{},"marks":[{"_":"font_size","value":"14pt"},{"_":"font_family","value":"Times New Roman"},{"_":"strong"}],"text":"План производства (эксплуатации)","type":"text"}],"type":"paragraph"}],"type":"list_item"}],"type":"ordered_list"},{"attrs":{"lineHeight":"","paddingBottom":"","paddingLeft":"","paddingTop":"","textAlign":"","textMark":[{"_":"font_size","value":"14pt"}]},"content":[{"attrs":{},"marks":[{"_":"font_size","value":"14pt"}],"text":" ","type":"text"}],"type":"paragraph"},{"attrs":{"lineHeight":"1","paddingBottom":"","paddingLeft":"0pt","paddingTop":"","textAlign":"","textIndent":true,"textMark":[{"_":"font_size","value":"14pt"}]},"content":[{"attrs":{},"marks":[{"_":"font_size","value":"14pt"},{"_":"font_family","value":"Times New Roman"}],"text":"Необходимо привести в бизнес-плане: ","type":"text"}],"type":"paragraph"},{"attrs":{},"content":[{"attrs":{"listMarks":[{"_":"font_size","value":"14pt"}]},"content":[{"attrs":{"lineHeight":"1","paddingBottom":"","paddingLeft":"28.85pt","paddingTop":"","textAlign":"justify","textMark":[{"_":"font_size","value":"14pt"}]},"content":[{"attrs":{},"marks":[{"_":"font_size","value":"14pt"},{"_":"font_family","value":"Times New Roman"}],"text":"план объема выпуска продукции в разрезе продуктов (продуктовых линеек) или план эксплуатации объектов, построенный с учетом прогноза объема продаж (интенсивности эксплуатации), определенного в разделе плана продаж и стратегии маркетинга; ","type":"text"}],"type":"paragraph"}],"type":"list_item"},{"attrs":{"listMarks":[{"_":"font_size","value":"14pt"}]},"content":[{"attrs":{"lineHeight":"1","paddingBottom":"","paddingLeft":"28.85pt","paddingTop":"","textAlign":"justify","textMark":[{"_":"font_size","value":"14pt"}]},"content":[{"attrs":{},"marks":[{"_":"font_size","value":"14pt"},{"_":"font_family","value":"Times New Roman"}],"text":"краткое описание производственного процесса (схемы производственных потоков) или бизнес-модели (описание основных ","type":"text"},{"attrs":{},"marks":[{"_":"font_size","value":"14pt"}],"type":"hard_break"},{"attrs":{},"marks":[{"_":"font_size","value":"14pt"},{"_":"font_family","value":"Times New Roman"}],"text":"бизнес-процессов) на операционной (эксплуатационной) стадии реализации проекта. Если часть производственного процесса или отдельные бизнес-процессы предполагается передать на аутсорсинг, необходимо указать основных предполагаемых подрядчиков с обоснованием их выбора; ","type":"text"}],"type":"paragraph"}],"type":"list_item"},{"attrs":{"listMarks":[{"_":"font_size","value":"14pt"}]},"content":[{"attrs":{"lineHeight":"1","paddingBottom":"","paddingLeft":"28.85pt","paddingTop":"","textAlign":"justify","textMark":[{"_":"font_size","value":"14pt"}]},"content":[{"attrs":{},"marks":[{"_":"font_size","value":"14pt"},{"_":"font_family","value":"Times New Roman"}],"text":"краткое описание технологии производства (строительства) ","type":"text"},{"attrs":{},"marks":[{"_":"font_size","value":"14pt"}],"type":"hard_break"},{"attrs":{},"marks":[{"_":"font_size","value":"14pt"},{"_":"font_family","value":"Times New Roman"}],"text":"и оборудования, которое будет использоваться для производства готовой продукции (строительства объектов), а также факторы, определившие ","type":"text"},{"attrs":{},"marks":[{"_":"font_size","value":"14pt"}],"type":"hard_break"},{"attrs":{},"marks":[{"_":"font_size","value":"14pt"},{"_":"font_family","value":"Times New Roman"}],"text":"их выбор. При этом следует осветить вопросы новизны ","type":"text"},{"attrs":{},"marks":[{"_":"font_size","value":"14pt"}],"type":"hard_break"},{"attrs":{},"marks":[{"_":"font_size","value":"14pt"},{"_":"font_family","value":"Times New Roman"}],"text":"и конкурентоспособности технологии (оборудования) с точки зрения российских и международных стандартов, а также привести информацию об опыте Участников проекта в их использовании; ","type":"text"}],"type":"paragraph"}],"type":"list_item"},{"attrs":{"listMarks":[{"_":"font_size","value":"14pt"}]},"content":[{"attrs":{"lineHeight":"1","paddingBottom":"","paddingLeft":"28.85pt","paddingTop":"","textAlign":"justify","textMark":[{"_":"font_size","value":"14pt"}]},"content":[{"attrs":{},"marks":[{"_":"font_size","value":"14pt"},{"_":"font_family","value":"Times New Roman"}],"text":"удельные затраты сырья и материалов, энергии, времени работы оборудования и персонала для осуществления ключевых бизнес процессов ","type":"text"},{"attrs":{},"marks":[{"_":"font_size","value":"14pt"}],"type":"hard_break"},{"attrs":{},"marks":[{"_":"font_size","value":"14pt"},{"_":"font_family","value":"Times New Roman"}],"text":"или для выпуска единицы продукта. ","type":"text"}],"type":"paragraph"}],"type":"list_item"}],"type":"bullet_list"},{"attrs":{"lineHeight":"1","paddingBottom":"","paddingLeft":"0pt","paddingTop":"","textAlign":"justify","textIndent":true,"textMark":[{"_":"font_size","value":"14pt"}]},"content":[{"attrs":{},"marks":[{"_":"font_size","value":"14pt"},{"_":"font_family","value":"Times New Roman"}],"text":" Привести информацию по системе обеспечения качества продукта ","type":"text"},{"attrs":{},"marks":[{"_":"font_size","value":"14pt"}],"type":"hard_break"},{"attrs":{},"marks":[{"_":"font_size","value":"14pt"},{"_":"font_family","value":"Times New Roman"}],"text":"(если высокое качество относится к конкурентным преимуществам продукта).","type":"text"}],"type":"paragraph"},{"attrs":{"lineHeight":"1","paddingBottom":"","paddingLeft":"0pt","paddingTop":"","textAlign":"justify","textIndent":true,"textMark":[{"_":"font_size","value":"14pt"}]},"content":[{"attrs":{},"marks":[{"_":"font_size","value":"14pt"},{"_":"font_family","value":"Times New Roman"}],"text":"При отсутствии сезонных колебаний объемов производства данная таблица не приводится. При этом предполагается, что после выхода на проектную мощность объем производства постоянен до конца периода расчета проекта.","type":"text"}],"type":"paragraph"},{"attrs":{"lineHeight":"","paddingBottom":"","paddingLeft":"","paddingTop":"","textAlign":"","textMark":[{"_":"font_size","value":"14pt"}]},"content":[{"attrs":{},"marks":[{"_":"font_size","value":"14pt"}],"text":" ","type":"text"}],"type":"paragraph"},{"attrs":{"order":1},"content":[{"attrs":{"listMarks":[{"_":"font_size","value":"14pt"}]},"content":[{"attrs":{"lineHeight":"1","paddingBottom":"","paddingLeft":"18pt","paddingTop":"","textAlign":"center","textMark":[{"_":"font_size","value":"14pt"}]},"content":[{"attrs":{},"marks":[{"_":"font_size","value":"14pt"},{"_":"font_family","value":"Times New Roman"},{"_":"strong"}],"text":"Финансовый план","type":"text"}],"type":"paragraph"}],"type":"list_item"}],"type":"ordered_list"},{"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Roman"}],"text":"В каждом параграфе данного раздела приводятся исходные данные, принятые допущения и особенности расчета для данного проекта, значения соответствующих расчетных параметров, а также интерпретация полученных результатов. Расчетные таблицы и графики приводятся в приложениях ","type":"text"},{"attrs":{},"marks":[{"_":"font_size","value":"14pt"}],"type":"hard_break"},{"attrs":{},"marks":[{"_":"font_size","value":"14pt"},{"_":"font_family","value":"Times New Roman"}],"text":"к бизнес-плану.","type":"text"}],"type":"paragraph"},{"attrs":{"order":1},"content":[{"attrs":{"listMarks":[]},"content":[{"attrs":{"order":1},"content":[{"attrs":{"listMarks":[{"_":"font_size","value":"14pt"}]},"content":[{"attrs":{"lineHeight":"1","paddingBottom":"","paddingLeft":"18pt","paddingTop":"","textAlign":"","textMark":[{"_":"font_size","value":"14pt"}]},"content":[{"attrs":{},"marks":[{"_":"font_size","value":"14pt"},{"_":"font_family","value":"Times New Roman"},{"_":"strong"}],"text":"Условия и допущения, принятые для расчета","type":"text"}],"type":"paragraph"}],"type":"list_item"}],"type":"ordered_list"}],"type":"list_item"}],"type":"ordered_list"},{"attrs":{"lineHeight":"1","paddingBottom":"","paddingLeft":"0pt","paddingTop":"","textAlign":"justify","textIndent":true,"textMark":[{"_":"font_size","value":"14pt"}]},"content":[{"attrs":{},"marks":[{"_":"font_size","value":"14pt"},{"_":"font_family","value":"Times New Roman"}],"text":"Приводится ссылка на программное обеспечение, на котором выполнена финансово- экономическая оценка проекта.","type":"text"}],"type":"paragraph"},{"attrs":{"lineHeight":"1","paddingBottom":"","paddingLeft":"0pt","paddingTop":"","textAlign":"","textIndent":true,"textMark":[{"_":"font_size","value":"14pt"}]},"content":[{"attrs":{},"marks":[{"_":"font_size","value":"14pt"},{"_":"font_family","value":"Times New Roman"}],"text":"К базовому варианту расчета предъявляются следующие требования:","type":"text"}],"type":"paragraph"},{"attrs":{},"content":[{"attrs":{"listMarks":[{"_":"font_size","value":"14pt"}]},"content":[{"attrs":{"lineHeight":"1","paddingBottom":"","paddingLeft":"28.85pt","paddingTop":"","textAlign":"justify","textMark":[{"_":"font_size","value":"14pt"}]},"content":[{"attrs":{},"marks":[{"_":"font_size","value":"14pt"},{"_":"font_family","value":"Times New Roman"},{"_":"strong"}],"text":"расчет выполняется в текущих ценах ","type":"text"},{"attrs":{},"marks":[{"_":"font_size","value":"14pt"},{"_":"font_family","value":"Times New Roman"}],"text":"с учетом прогнозируемой инфляции или другого индекса роста цен/тарифов;","type":"text"}],"type":"paragraph"}],"type":"list_item"},{"attrs":{"listMarks":[{"_":"font_size","value":"14pt"}]},"content":[{"attrs":{"lineHeight":"1","paddingBottom":"","paddingLeft":"28.85pt","paddingTop":"","textAlign":"justify","textMark":[{"_":"font_size","value":"14pt"}]},"content":[{"attrs":{},"marks":[{"_":"font_size","value":"14pt"},{"_":"font_family","value":"Times New Roman"}],"text":"на период, превышающий срок окупаемости проекта и возврата заемных средств на один год;","type":"text"}],"type":"paragraph"}],"type":"list_item"},{"attrs":{"listMarks":[{"_":"font_size","value":"14pt"}]},"content":[{"attrs":{"lineHeight":"1","paddingBottom":"","paddingLeft":"28.85pt","paddingTop":"","textAlign":"justify","textMark":[{"_":"font_size","value":"14pt"}]},"content":[{"attrs":{},"marks":[{"_":"font_size","value":"14pt"},{"_":"font_family","value":"Times New Roman"}],"text":"на этапе осуществления инвестиций и освоения производственных мощностей (выхода на проектную мощность) расчеты производятся ","type":"text"},{"attrs":{},"marks":[{"_":"font_size","value":"14pt"}],"type":"hard_break"},{"attrs":{},"marks":[{"_":"font_size","value":"14pt"},{"_":"font_family","value":"Times New Roman"}],"text":"с поквартальной периодичностью, далее по годам, при условии отсутствия ярко выраженной сезонности;","type":"text"}],"type":"paragraph"}],"type":"list_item"},{"attrs":{"listMarks":[{"_":"font_size","value":"14pt"}]},"content":[{"attrs":{"lineHeight":"1","paddingBottom":"","paddingLeft":"28.85pt","paddingTop":"","textAlign":"justify","textMark":[{"_":"font_size","value":"14pt"}]},"content":[{"attrs":{},"marks":[{"_":"font_size","value":"14pt"},{"_":"font_family","value":"Times New Roman"}],"text":"значения всех исходных и расчетных данных приводятся в валюте рублях, при этом если исходные данные выражены в валюте, то они пересчитываются в рубли по единому курсу Центрального банка Российской Федерации на момент выполнения расчетов (указать дату и курс);","type":"text"}],"type":"paragraph"}],"type":"list_item"},{"attrs":{"listMarks":[{"_":"font_size","value":"14pt"}]},"content":[{"attrs":{"lineHeight":"1","paddingBottom":"","paddingLeft":"28.85pt","paddingTop":"","textAlign":"justify","textMark":[{"_":"font_size","value":"14pt"}]},"content":[{"attrs":{},"marks":[{"_":"font_size","value":"14pt"},{"_":"font_family","value":"Times New Roman"}],"text":"остаточная стоимость активов проекта на конец расчетного периода ","type":"text"},{"attrs":{},"marks":[{"_":"font_size","value":"14pt"}],"type":"hard_break"},{"attrs":{},"marks":[{"_":"font_size","value":"14pt"},{"_":"font_family","value":"Times New Roman"}],"text":"не учитывается при анализе показателей его эффективности (не предполагается их продажа и закрытие предприятия).","type":"text"}],"type":"paragraph"}],"type":"list_item"}],"type":"bullet_list"},{"attrs":{"lineHeight":"1","paddingBottom":"","paddingLeft":"0pt","paddingTop":"","textAlign":"justify","textIndent":true,"textMark":[{"_":"font_size","value":"14pt"}]},"content":[{"attrs":{},"marks":[{"_":"font_size","value":"14pt"},{"_":"font_family","value":"Times New Roman"},{"_":"strong"}],"text":"Расчеты экономической эффективности проекта ","type":"text"},{"attrs":{},"marks":[{"_":"font_size","value":"14pt"},{"_":"font_family","value":"Times New Roman"}],"text":"выполняются ","type":"text"},{"attrs":{},"marks":[{"_":"font_size","value":"14pt"}],"type":"hard_break"},{"attrs":{},"marks":[{"_":"font_size","value":"14pt"},{"_":"font_family","value":"Times New Roman"}],"text":"с учетом официального издания Методических рекомендаций по оценке эффективности инвестиционных проектов, утвержденные Министерством экономического развития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21.06.1999 ","type":"text"},{"attrs":{},"marks":[{"_":"font_size","value":"14pt"}],"type":"hard_break"},{"attrs":{},"marks":[{"_":"font_size","value":"14pt"},{"_":"font_family","value":"Times New Roman"}],"text":"№ ВК 477), вторая редакция, рук. авт. кол.: Коссов В.В., Лившиц В.Н., Шахназаров А.Г. - М.: ОАО «НПО «Издательство «Экономика», 2000. – 421 с. Электронная версия данного документа приведена в базе «Консультант Плюс» ","type":"text"},{"attrs":{},"marks":[{"_":"font_size","value":"14pt"}],"type":"hard_break"},{"attrs":{},"marks":[{"_":"font_size","value":"14pt"},{"_":"font_family","value":"Times New Roman"}],"text":"под приведенным выше номером.","type":"text"}],"type":"paragraph"},{"attrs":{"lineHeight":"1","paddingBottom":"","paddingLeft":"0pt","paddingTop":"","textAlign":"justify","textIndent":true,"textMark":[{"_":"font_size","value":"14pt"}]},"content":[{"attrs":{},"marks":[{"_":"font_size","value":"14pt"},{"_":"font_family","value":"Times New Roman"}],"text":"В связи с этим в настоящем макете бизнес-плана не приводится полная методика расчетов и формы расчетных таблиц.","type":"text"}],"type":"paragraph"},{"attrs":{"order":1},"content":[{"attrs":{"listMarks":[]},"content":[{"attrs":{"order":1},"content":[{"attrs":{"listMarks":[{"_":"font_size","value":"14pt"}]},"content":[{"attrs":{"lineHeight":"1","paddingBottom":"","paddingLeft":"18pt","paddingTop":"","textAlign":"justify","textMark":[{"_":"font_size","value":"14pt"}]},"content":[{"attrs":{},"marks":[{"_":"font_size","value":"14pt"},{"_":"font_family","value":"Times New Roman"},{"_":"strong"}],"text":"Исходные данные","type":"text"}],"type":"paragraph"}],"type":"list_item"}],"type":"ordered_list"}],"type":"list_item"}],"type":"ordered_list"},{"attrs":{"lineHeight":"1","paddingBottom":"","paddingLeft":"0pt","paddingTop":"","textAlign":"justify","textIndent":true,"textMark":[{"_":"font_size","value":"14pt"}]},"content":[{"attrs":{},"marks":[{"_":"font_size","value":"14pt"},{"_":"font_family","value":"Times New Roman"}],"text":"Формы исходных данных (обязательны для заполнения) предназначены ","type":"text"},{"attrs":{},"marks":[{"_":"font_size","value":"14pt"}],"type":"hard_break"},{"attrs":{},"marks":[{"_":"font_size","value":"14pt"},{"_":"font_family","value":"Times New Roman"}],"text":"для сбора и структуризации информации, необходимой для выполнения финансово-экономической оценки проекта и его коммерческой состоятельности.","type":"text"}],"type":"paragraph"},{"attrs":{"lineHeight":"1","paddingBottom":"","paddingLeft":"0pt","paddingTop":"","textAlign":"justify","textIndent":true,"textMark":[{"_":"font_size","value":"14pt"}]},"content":[{"attrs":{},"marks":[{"_":"font_size","value":"14pt"},{"_":"font_family","value":"Times New Roman"}],"text":"Данные могут быть получены из различных источников (отчет ","type":"text"},{"attrs":{},"marks":[{"_":"font_size","value":"14pt"}],"type":"hard_break"},{"attrs":{},"marks":[{"_":"font_size","value":"14pt"},{"_":"font_family","value":"Times New Roman"}],"text":"об исследовании рынка, коммерческие предложения, технический проект ","type":"text"},{"attrs":{},"marks":[{"_":"font_size","value":"14pt"}],"type":"hard_break"},{"attrs":{},"marks":[{"_":"font_size","value":"14pt"},{"_":"font_family","value":"Times New Roman"}],"text":"и пр.), должны корреспондироваться с соответствующими разделами бизнес-плана и документами, приводимыми в Приложениях к нему.","type":"text"}],"type":"paragraph"},{"attrs":{"lineHeight":"1","paddingBottom":"","paddingLeft":"0pt","paddingTop":"","textAlign":"justify","textIndent":true,"textMark":[{"_":"font_size","value":"14pt"}]},"content":[{"attrs":{},"marks":[{"_":"font_size","value":"14pt"},{"_":"font_family","value":"Times New Roman"}],"text":"Вся исходная информация подвергается экспертизе и при выявлении серьезных несоответствий АО «КАВКАЗ.РФ» может прекратить работу по проекту.","type":"text"}],"type":"paragraph"},{"attrs":{"order":1},"content":[{"attrs":{"listMarks":[]},"content":[{"attrs":{"order":1},"content":[{"attrs":{"listMarks":[]},"content":[{"attrs":{"order":1},"content":[{"attrs":{"listMarks":[{"_":"font_size","value":"14pt"}]},"content":[{"attrs":{"lineHeight":"1","paddingBottom":"","paddingLeft":"18pt","paddingTop":"","textAlign":"justify","textMark":[{"_":"font_size","value":"14pt"}]},"content":[{"attrs":{},"marks":[{"_":"font_size","value":"14pt"},{"_":"font_family","value":"Times New Roman"},{"_":"strong"}],"text":"Налоговое окружение","type":"text"}],"type":"paragraph"}],"type":"list_item"}],"type":"ordered_list"}],"type":"list_item"}],"type":"ordered_list"}],"type":"list_item"}],"type":"ordered_list"},{"attrs":{"colgroup":[{"width":311},{"width":85},{"width":94},{"width":86},{"width":85}],"synotable":"1DvDkfgqdV"},"content":[{"attrs":{"height":40},"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7.1pt","paddingTop":"","textAlign":"center","textMark":[{"_":"font_size","value":"12pt"}]},"content":[{"attrs":{},"marks":[{"_":"font_size","value":"12pt"},{"_":"font_family","value":"Times New Roman"}],"text":"Наименование налогов, уплачиваемых предприятием, осуществляющим инвестиционный проект","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3.3pt","paddingTop":"","textAlign":"center","textMark":[{"_":"font_size","value":"12pt"}]},"content":[{"attrs":{},"marks":[{"_":"font_size","value":"12pt"},{"_":"font_family","value":"Times New Roman"}],"text":"Ставка ","type":"text"},{"attrs":{},"marks":[{"_":"font_size","value":"12pt"}],"type":"hard_break"},{"attrs":{},"marks":[{"_":"font_size","value":"12pt"},{"_":"font_family","value":"Times New Roman"}],"text":"(или сумм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Roman"}],"text":"Налогообла- гаемая баз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Roman"}],"text":"Период начис ления (дней)","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-0.15pt","paddingTop":"","textAlign":"center","textMark":[{"_":"font_size","value":"12pt"}]},"content":[{"attrs":{},"marks":[{"_":"font_size","value":"12pt"},{"_":"font_family","value":"Times New Roman"}],"text":"Льготы","type":"text"}],"type":"paragraph"},{"attrs":{"lineHeight":"1.15","paddingBottom":"","paddingLeft":"-0.15pt","paddingTop":"","textAlign":"center","textMark":[{"_":"font_size","value":"12pt"}]},"content":[{"attrs":{},"marks":[{"_":"font_size","value":"12pt"},{"_":"font_family","value":"Times New Roman"}],"text":"(основа ние)","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7.1pt","paddingTop":"","textAlign":"","textMark":[{"_":"font_size","value":"12pt"}]},"content":[{"attrs":{},"marks":[{"_":"font_size","value":"12pt"},{"_":"font_family","value":"Times New Roman"}],"text":"Страховые взносы в ПФР, ФСС РФ и ФОМС","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7.1pt","paddingTop":"","textAlign":"","textMark":[{"_":"font_size","value":"12pt"}]},"content":[{"attrs":{},"marks":[{"_":"font_size","value":"12pt"},{"_":"font_family","value":"Times New Roman"}],"text":"Налог на добавленную стоимость","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7.1pt","paddingTop":"","textAlign":"","textMark":[{"_":"font_size","value":"12pt"}]},"content":[{"attrs":{},"marks":[{"_":"font_size","value":"12pt"},{"_":"font_family","value":"Times New Roman"}],"text":"Налог на имущество","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7.1pt","paddingTop":"","textAlign":"","textMark":[{"_":"font_size","value":"12pt"}]},"content":[{"attrs":{},"marks":[{"_":"font_size","value":"12pt"},{"_":"font_family","value":"Times New Roman"}],"text":"Налог на прибыль","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7.1pt","paddingTop":"","textAlign":"","textMark":[{"_":"font_size","value":"12pt"}]},"content":[{"attrs":{},"marks":[{"_":"font_size","value":"12pt"},{"_":"font_family","value":"Times New Roman"}],"text":"Другие налоги (расшифровать)","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24},"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7.1pt","paddingTop":"","textAlign":"","textMark":[{"_":"font_size","value":"12pt"}]},"content":[{"attrs":{},"marks":[{"_":"font_size","value":"12pt"},{"_":"font_family","value":"Times New Roman"}],"text":"Акцизы на сырье и готовую продукцию (с расшифровкой номенклатуры)","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47},"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7.1pt","paddingTop":"","textAlign":"","textMark":[{"_":"font_size","value":"12pt"}]},"content":[{"attrs":{},"marks":[{"_":"font_size","value":"12pt"},{"_":"font_family","value":"Times New Roman"}],"text":"Таможенные пошлины на оборудование, сырье, материалы, комплектующие и готовую продукцию (с расшифровкой номенклатуры и кодом ТН ВЭД)","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7.1pt","paddingTop":"","textAlign":"","textMark":[{"_":"font_size","value":"12pt"}]},"content":[{"attrs":{},"marks":[{"_":"font_size","value":"12pt"},{"_":"font_family","value":"Times New Roman"}],"text":"Местные налоги (расшифровать)","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24},"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7.1pt","paddingTop":"","textAlign":"","textMark":[{"_":"font_size","value":"12pt"}]},"content":[{"attrs":{},"marks":[{"_":"font_size","value":"12pt"},{"_":"font_family","value":"Times New Roman"}],"text":"Нормативы затрат    по отнесению ","type":"text"},{"attrs":{},"marks":[{"_":"font_size","value":"12pt"}],"type":"hard_break"},{"attrs":{},"marks":[{"_":"font_size","value":"12pt"},{"_":"font_family","value":"Times New Roman"}],"text":"на себестоимость:","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4,"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7.1pt","paddingTop":"","textAlign":"","textMark":[{"_":"font_size","value":"12pt"}]},"content":[{"attrs":{},"marks":[{"_":"font_size","value":"12pt"},{"_":"font_family","value":"Times New Roman"}],"text":"Страховые платеж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24},"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7.1pt","paddingTop":"","textAlign":"","textMark":[{"_":"font_size","value":"12pt"}]},"content":[{"attrs":{},"marks":[{"_":"font_size","value":"12pt"},{"_":"font_family","value":"Times New Roman"}],"text":"Проценты по краткосрочным кредитам в рублях","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24},"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7.1pt","paddingTop":"","textAlign":"","textMark":[{"_":"font_size","value":"12pt"}]},"content":[{"attrs":{},"marks":[{"_":"font_size","value":"12pt"},{"_":"font_family","value":"Times New Roman"}],"text":"Проценты по краткосрочным","type":"text"}],"type":"paragraph"},{"attrs":{"lineHeight":"1.15","paddingBottom":"","paddingLeft":"7.1pt","paddingTop":"","textAlign":"","textMark":[{"_":"font_size","value":"12pt"}]},"content":[{"attrs":{},"marks":[{"_":"font_size","value":"12pt"},{"_":"font_family","value":"Times New Roman"}],"text":"кредитам в иностранной валюте","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type":"table"},{"attrs":{"lineHeight":"1","paddingBottom":"","paddingLeft":"0pt","paddingTop":"","textAlign":"justify","textIndent":true,"textMark":[{"_":"font_size","value":"14pt"}]},"content":[{"attrs":{},"marks":[{"_":"font_size","value":"14pt"},{"_":"font_family","value":"Times New Roman"}],"text":"Приведенный в таблице перечень налогов должен быть уточнен ","type":"text"},{"attrs":{},"marks":[{"_":"font_size","value":"14pt"}],"type":"hard_break"},{"attrs":{},"marks":[{"_":"font_size","value":"14pt"},{"_":"font_family","value":"Times New Roman"}],"text":"и расширен с учетом местных или отраслевых особенностей налогообложения проекта (предприятия).","type":"text"}],"type":"paragraph"},{"attrs":{"lineHeight":"1","paddingBottom":"","paddingLeft":"0pt","paddingTop":"","textAlign":"justify","textIndent":true,"textMark":[{"_":"font_size","value":"14pt"}]},"content":[{"attrs":{},"marks":[{"_":"font_size","value":"14pt"},{"_":"font_family","value":"Times New Roman"}],"text":"При указании таможенных пошлин на оборудование, сырье, материалы, комплектующие или готовую продукцию привести соответствующий код ","type":"text"},{"attrs":{},"marks":[{"_":"font_size","value":"14pt"}],"type":"hard_break"},{"attrs":{},"marks":[{"_":"font_size","value":"14pt"},{"_":"font_family","value":"Times New Roman"}],"text":"ТН ВЭД.","type":"text"}],"type":"paragraph"},{"attrs":{"lineHeight":"1","paddingBottom":"","paddingLeft":"0pt","paddingTop":"","textAlign":"justify","textIndent":true,"textMark":[{"_":"font_size","value":"14pt"}]},"content":[{"attrs":{},"marks":[{"_":"font_size","value":"14pt"},{"_":"font_family","value":"Times New Roman"}],"text":"Должны быть описаны существующие льготы по уплате того или иного налога (особенности исчисления).","type":"text"}],"type":"paragraph"},{"attrs":{"order":1},"content":[{"attrs":{"listMarks":[]},"content":[{"attrs":{"order":1},"content":[{"attrs":{"listMarks":[]},"content":[{"attrs":{"order":1},"content":[{"attrs":{"listMarks":[{"_":"font_size","value":"14pt"}]},"content":[{"attrs":{"lineHeight":"1","paddingBottom":"","paddingLeft":"18pt","paddingTop":"","textAlign":"","textMark":[{"_":"font_size","value":"14pt"}]},"content":[{"attrs":{},"marks":[{"_":"font_size","value":"14pt"},{"_":"font_family","value":"Times New Roman"},{"_":"strong"}],"text":"Номенклатура и цены продукции / услуг ","type":"text"},{"attrs":{},"marks":[{"_":"font_size","value":"14pt"},{"_":"font_family","value":"Times New Roman"}],"text":"(в валюте платежа)","type":"text"}],"type":"paragraph"}],"type":"list_item"}],"type":"ordered_list"}],"type":"list_item"}],"type":"ordered_list"}],"type":"list_item"}],"type":"ordered_list"},{"attrs":{"colgroup":[{"width":28},{"width":113},{"width":47},{"width":141},{"width":66},{"width":75},{"width":47},{"width":141}],"synotable":"mGNFhvxlrt"},"content":[{"attrs":{"height":40},"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3.25pt","paddingTop":"","textAlign":"center","textMark":[{"_":"font_size","value":"12pt"}]},"content":[{"attrs":{},"marks":[{"_":"font_size","value":"12pt"},{"_":"font_family","value":"Times New Roman"}],"text":"Наименование продукции, услуг","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Roman"}],"text":"Ед. изм.","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-2.2pt","paddingTop":"","textAlign":"center","textMark":[{"_":"font_size","value":"12pt"}]},"content":[{"attrs":{},"marks":[{"_":"font_size","value":"12pt"},{"_":"font_family","value":"Times New Roman"}],"text":"Цена без НДС, акциза, таможенной","type":"text"}],"type":"paragraph"},{"attrs":{"lineHeight":"1.15","paddingBottom":"","paddingLeft":"-2.2pt","paddingTop":"","textAlign":"center","textMark":[{"_":"font_size","value":"12pt"}]},"content":[{"attrs":{},"marks":[{"_":"font_size","value":"12pt"},{"_":"font_family","value":"Times New Roman"}],"text":"пошлины","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Акциз","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Roman"}],"text":"Таможен- ная пошлин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НДС","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10.75pt","paddingTop":"","textAlign":"center","textMark":[{"_":"font_size","value":"12pt"}]},"content":[{"attrs":{},"marks":[{"_":"font_size","value":"12pt"},{"_":"font_family","value":"Times New Roman"}],"text":"Цена с НДС,","type":"text"}],"type":"paragraph"},{"attrs":{"lineHeight":"1.15","paddingBottom":"","paddingLeft":"0pt","paddingTop":"","textAlign":"center","textMark":[{"_":"font_size","value":"12pt"}]},"content":[{"attrs":{},"marks":[{"_":"font_size","value":"12pt"},{"_":"font_family","value":"Times New Roman"}],"text":"акцизом, таможен-ной пошлиной","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14pt"}]},"content":[{"attrs":{},"marks":[{"_":"font_size","value":"14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type":"table_row"}],"type":"table"},{"attrs":{"lineHeight":"1","paddingBottom":"","paddingLeft":"0pt","paddingTop":"","textAlign":"justify","textIndent":true,"textMark":[{"_":"font_size","value":"14pt"}]},"content":[{"attrs":{},"marks":[{"_":"font_size","value":"14pt"},{"_":"font_family","value":"Times New Roman"}],"text":"Отходы производства, подлежащие реализации на сторону, ","type":"text"},{"attrs":{},"marks":[{"_":"font_size","value":"14pt"}],"type":"hard_break"},{"attrs":{},"marks":[{"_":"font_size","value":"14pt"},{"_":"font_family","value":"Times New Roman"}],"text":"также должны быть включены в данную таблицу.","type":"text"}],"type":"paragraph"},{"attrs":{"lineHeight":"1","paddingBottom":"","paddingLeft":"0pt","paddingTop":"","textAlign":"justify","textIndent":true,"textMark":[{"_":"font_size","value":"14pt"}]},"content":[{"attrs":{},"marks":[{"_":"font_size","value":"14pt"},{"_":"font_family","value":"Times New Roman"},{"_":"strong"}],"text":"Сезонные колебания цен ","type":"text"},{"attrs":{},"marks":[{"_":"font_size","value":"14pt"},{"_":"font_family","value":"Times New Roman"}],"text":"(с учетом инфляции).","type":"text"}],"type":"paragraph"},{"attrs":{"lineHeight":"1","paddingBottom":"","paddingLeft":"0pt","paddingTop":"","textAlign":"justify","textIndent":true,"textMark":[{"_":"font_size","value":"14pt"}]},"content":[{"attrs":{"config":{"alignment":"inline","crop":null,"file_alt":"image2.png","file_id":"11","file_type":"image","height":20,"type":"image","width":15},"synograph":"XQiEDx3jdp"},"marks":[{"_":"font_size","value":"14pt"}],"type":"graph"},{"attrs":{},"marks":[{"_":"font_size","value":"14pt"},{"_":"font_family","value":"Times New Roman"}],"text":" Цены указываются в процентах для каждого квартала, при условии наличия ярко выраженной сезонности;","type":"text"}],"type":"paragraph"},{"attrs":{"lineHeight":"1","paddingBottom":"","paddingLeft":"0pt","paddingTop":"","textAlign":"justify","textIndent":true,"textMark":[{"_":"font_size","value":"14pt"}]},"content":[{"attrs":{},"marks":[{"_":"font_size","value":"14pt"},{"_":"font_family","value":"Times New Roman"}],"text":"За 100% принимается цена, приведенная в предыдущей таблице.","type":"text"}],"type":"paragraph"},{"attrs":{"colgroup":[{"width":18},{"width":292},{"width":86},{"width":92},{"width":92},{"width":69}],"synotable":"RHE5G0wjzF"},"content":[{"attrs":{"height":12},"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0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5.35pt","paddingTop":"","textAlign":"center","textMark":[{"_":"font_size","value":"12pt"}]},"content":[{"attrs":{},"marks":[{"_":"font_size","value":"12pt"},{"_":"font_family","value":"Times New Roman"}],"text":"Наименование  продукци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4,"rowspan":1,"verticalAlign":"middle"},"content":[{"attrs":{"lineHeight":"1.15","paddingBottom":"","paddingLeft":"71.55pt","paddingTop":"","textAlign":"center","textMark":[{"_":"font_size","value":"12pt"}]},"content":[{"attrs":{},"marks":[{"_":"font_size","value":"12pt"},{"_":"font_family","value":"Times New Roman"}],"text":"Номер квартал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0.15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0.2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0.1pt","paddingTop":"","textAlign":"center","textMark":[{"_":"font_size","value":"12pt"}]},"content":[{"attrs":{},"marks":[{"_":"font_size","value":"12pt"},{"_":"font_family","value":"Times New Roman"}],"text":"3","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4","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type":"table"},{"attrs":{"lineHeight":"1","paddingBottom":"","paddingLeft":"0pt","paddingTop":"","textAlign":"justify","textIndent":true,"textMark":[{"_":"font_size","value":"14pt"}]},"content":[{"attrs":{},"marks":[{"_":"font_size","value":"14pt"},{"_":"font_family","value":"Times New Roman"}],"text":"При отсутствии сезонных колебаний цен данная таблица не приводится.","type":"text"}],"type":"paragraph"},{"attrs":{"lineHeight":"","paddingBottom":"","paddingLeft":"","paddingTop":"","textAlign":"","textMark":[{"_":"font_size","value":"14pt"}]},"content":[{"attrs":{},"marks":[{"_":"font_size","value":"14pt"}],"text":" ","type":"text"}],"type":"paragraph"},{"attrs":{"lineHeight":"","paddingBottom":"","paddingLeft":"","paddingTop":"","textAlign":"","textMark":[{"_":"font_size","value":"14pt"}]},"content":[{"attrs":{},"marks":[{"_":"font_size","value":"14pt"}],"text":" ","type":"text"}],"type":"paragraph"},{"attrs":{"order":1},"content":[{"attrs":{"listMarks":[]},"content":[{"attrs":{"order":1},"content":[{"attrs":{"listMarks":[]},"content":[{"attrs":{"order":1},"content":[{"attrs":{"listMarks":[{"_":"font_size","value":"14pt"}]},"content":[{"attrs":{"lineHeight":"1","paddingBottom":"","paddingLeft":"18pt","paddingTop":"","textAlign":"justify","textMark":[{"_":"font_size","value":"14pt"}]},"content":[{"attrs":{},"marks":[{"_":"font_size","value":"14pt"},{"_":"font_family","value":"Times New Roman"},{"_":"strong"}],"text":"План производства (продаж) продукции ","type":"text"},{"attrs":{},"marks":[{"_":"font_size","value":"14pt"},{"_":"font_family","value":"Times New Roman"}],"text":"(в натуральном выражении или в процентах освоения проектной мощности, приведенной ","type":"text"},{"attrs":{},"marks":[{"_":"font_size","value":"14pt"}],"type":"hard_break"},{"attrs":{},"marks":[{"_":"font_size","value":"14pt"},{"_":"font_family","value":"Times New Roman"}],"text":"к интервалу планирования).","type":"text"}],"type":"paragraph"}],"type":"list_item"}],"type":"ordered_list"}],"type":"list_item"}],"type":"ordered_list"}],"type":"list_item"}],"type":"ordered_list"},{"attrs":{"colgroup":[{"width":31},{"width":107},{"width":47},{"width":75},{"width":94},{"width":103},{"width":28},{"width":28},{"width":138}],"synotable":"RLQ51xuyVa"},"content":[{"attrs":{"height":9},"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0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0pt","paddingTop":"","textAlign":"center","textMark":[{"_":"font_size","value":"12pt"}]},"content":[{"attrs":{},"marks":[{"_":"font_size","value":"12pt"},{"_":"font_family","value":"Times New Roman"}],"text":"Наименование продукци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0pt","paddingTop":"","textAlign":"center","textMark":[{"_":"font_size","value":"12pt"}]},"content":[{"attrs":{},"marks":[{"_":"font_size","value":"12pt"},{"_":"font_family","value":"Times New Roman"}],"text":"Ед. изм.","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0pt","paddingTop":"","textAlign":"center","textMark":[{"_":"font_size","value":"12pt"}]},"content":[{"attrs":{},"marks":[{"_":"font_size","value":"12pt"},{"_":"font_family","value":"Times New Roman"}],"text":"Годовая проектная мощность","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0pt","paddingTop":"","textAlign":"center","textMark":[{"_":"font_size","value":"12pt"}]},"content":[{"attrs":{},"marks":[{"_":"font_size","value":"12pt"},{"_":"font_family","value":"Times New Roman"}],"text":"в т.ч. потери: ","type":"text"},{"attrs":{},"marks":[{"_":"font_size","value":"12pt"}],"type":"hard_break"},{"attrs":{},"marks":[{"_":"font_size","value":"12pt"},{"_":"font_family","value":"Times New Roman"}],"text":"на брак и хранение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4,"rowspan":1,"verticalAlign":"middle"},"content":[{"attrs":{"lineHeight":"1.15","paddingBottom":"","paddingLeft":"0pt","paddingTop":"","textAlign":"center","textMark":[{"_":"font_size","value":"12pt"}]},"content":[{"attrs":{},"marks":[{"_":"font_size","value":"12pt"},{"_":"font_family","value":"Times New Roman"}],"text":"Номер интервала планирования (мес.)","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type":"table_row"},{"attrs":{"height":38},"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Roman"}],"text":"Интервал начала производств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Roman"}],"text":"Интервал выхода ","type":"text"},{"attrs":{},"marks":[{"_":"font_size","value":"12pt"}],"type":"hard_break"},{"attrs":{},"marks":[{"_":"font_size","value":"12pt"},{"_":"font_family","value":"Times New Roman"}],"text":"на проектную","type":"text"}],"type":"paragraph"},{"attrs":{"lineHeight":"1.15","paddingBottom":"","paddingLeft":"0pt","paddingTop":"","textAlign":"center","textMark":[{"_":"font_size","value":"12pt"}]},"content":[{"attrs":{},"marks":[{"_":"font_size","value":"12pt"},{"_":"font_family","value":"Times New Roman"}],"text":"мощность","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type":"table"},{"attrs":{"lineHeight":"1","paddingBottom":"","paddingLeft":"0pt","paddingTop":"","textAlign":"justify","textIndent":true,"textMark":[{"_":"font_size","value":"14pt"}]},"content":[{"attrs":{},"marks":[{"_":"font_size","value":"14pt"},{"_":"font_family","value":"Times New Roman"}],"text":"Для проектов сельскохозяйственного производства, кроме потерь необходимо указать также процент продукции собственного производства, реализуемой в счет натуральной оплаты труда и внутреннего потребления.","type":"text"}],"type":"paragraph"},{"attrs":{"lineHeight":"1","paddingBottom":"","paddingLeft":"0pt","paddingTop":"","textAlign":"justify","textIndent":true,"textMark":[{"_":"font_size","value":"14pt"}]},"content":[{"attrs":{},"marks":[{"_":"font_size","value":"14pt"},{"_":"font_family","value":"Times New Roman"},{"_":"strong"}],"text":"Объем продаж","type":"text"},{"attrs":{},"marks":[{"_":"font_size","value":"14pt"},{"_":"font_family","value":"Times New Roman"}],"text":" в каждом интервале планирования рассчитывается ","type":"text"},{"attrs":{},"marks":[{"_":"font_size","value":"14pt"}],"type":"hard_break"},{"attrs":{},"marks":[{"_":"font_size","value":"14pt"},{"_":"font_family","value":"Times New Roman"}],"text":"в дальнейшем с учетом принятого плана производства, а также норм страхового запаса и оборота (в днях) склада готовой продукции.","type":"text"}],"type":"paragraph"},{"attrs":{"lineHeight":"1","paddingBottom":"","paddingLeft":"0pt","paddingTop":"","textAlign":"justify","textIndent":true,"textMark":[{"_":"font_size","value":"14pt"}]},"content":[{"attrs":{},"marks":[{"_":"font_size","value":"14pt"},{"_":"font_family","value":"Times New Roman"}],"text":"Допускается, при необходимости, указывать вместо объемов производства – объемы продаж продукции. При этом соответственно, объем производства становится расчетным параметром проекта. При заполнении таблицы необходимо указать выбранный вариант: объем производства или продаж.","type":"text"}],"type":"paragraph"},{"attrs":{"lineHeight":"1","paddingBottom":"","paddingLeft":"0pt","paddingTop":"","textAlign":"justify","textIndent":true,"textMark":[{"_":"font_size","value":"14pt"}]},"content":[{"attrs":{},"marks":[{"_":"font_size","value":"14pt"},{"_":"font_family","value":"Times New Roman"},{"_":"strong"}],"text":"Сезонные колебания объемов производства продукции","type":"text"}],"type":"paragraph"},{"attrs":{"lineHeight":"1","paddingBottom":"","paddingLeft":"0pt","paddingTop":"","textAlign":"justify","textIndent":true,"textMark":[{"_":"font_size","value":"14pt"}]},"content":[{"attrs":{},"marks":[{"_":"font_size","value":"14pt"},{"_":"font_family","value":"Times New Roman"}],"text":"Объемы производства указываются в процентах для каждого квартала, при условии наличия ярко выраженной сезонности. За 100% принимается объем производства, приведенный в последней графе предыдущей таблицы (интервал выхода на проектную мощность).","type":"text"}],"type":"paragraph"},{"attrs":{"colgroup":[{"width":47},{"width":245},{"width":85},{"width":94},{"width":94},{"width":85}],"synotable":"FFGpVkI5lV"},"content":[{"attrs":{"height":12},"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1.7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0pt","paddingTop":"","textAlign":"center","textMark":[{"_":"font_size","value":"12pt"}]},"content":[{"attrs":{},"marks":[{"_":"font_size","value":"12pt"},{"_":"font_family","value":"Times New Roman"}],"text":"Наименование продукци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4,"rowspan":1,"verticalAlign":"middle"},"content":[{"attrs":{"lineHeight":"1.15","paddingBottom":"","paddingLeft":"0pt","paddingTop":"","textAlign":"center","textMark":[{"_":"font_size","value":"12pt"}]},"content":[{"attrs":{},"marks":[{"_":"font_size","value":"12pt"},{"_":"font_family","value":"Times New Roman"}],"text":"Номер квартал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0.15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0.2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0.1pt","paddingTop":"","textAlign":"center","textMark":[{"_":"font_size","value":"12pt"}]},"content":[{"attrs":{},"marks":[{"_":"font_size","value":"12pt"},{"_":"font_family","value":"Times New Roman"}],"text":"3","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4","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type":"table"},{"attrs":{"lineHeight":"1","paddingBottom":"","paddingLeft":"0pt","paddingTop":"","textAlign":"justify","textIndent":true,"textMark":[{"_":"font_size","value":"14pt"}]},"content":[{"attrs":{},"marks":[{"_":"font_size","value":"14pt"},{"_":"font_family","value":"Times New Roman"}],"text":"При отсутствии сезонных колебаний объемов производства данная таблица не приводится. При этом предполагается, что после выхода на проектную мощность объем производства постоянен до конца периода расчета проекта.","type":"text"}],"type":"paragraph"},{"attrs":{"order":1},"content":[{"attrs":{"listMarks":[]},"content":[{"attrs":{"order":1},"content":[{"attrs":{"listMarks":[]},"content":[{"attrs":{"order":1},"content":[{"attrs":{"listMarks":[{"_":"font_size","value":"14pt"}]},"content":[{"attrs":{"lineHeight":"1","paddingBottom":"","paddingLeft":"18pt","paddingTop":"","textAlign":"justify","textMark":[{"_":"font_size","value":"14pt"}]},"content":[{"attrs":{},"marks":[{"_":"font_size","value":"14pt"},{"_":"font_family","value":"Times New Roman"},{"_":"strong"}],"text":"Номенклатура и цены сырья, материалов и пр. ","type":"text"},{"attrs":{},"marks":[{"_":"font_size","value":"14pt"},{"_":"font_family","value":"Times New Roman"}],"text":"(в валюте платежа)","type":"text"}],"type":"paragraph"}],"type":"list_item"}],"type":"ordered_list"}],"type":"list_item"}],"type":"ordered_list"}],"type":"list_item"}],"type":"ordered_list"},{"attrs":{"colgroup":[{"width":28},{"width":132},{"width":37},{"width":113},{"width":56},{"width":94},{"width":47},{"width":141}],"synotable":"PZouolX4BZ"},"content":[{"attrs":{"height":21},"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Indent":true,"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-0.75pt","paddingTop":"","textAlign":"center","textMark":[{"_":"font_size","value":"12pt"}]},"content":[{"attrs":{},"marks":[{"_":"font_size","value":"12pt"},{"_":"font_family","value":"Times New Roman"}],"text":"Наименование статей прямых материальных затрат","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Roman"}],"text":"Ед. изм.","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2.4pt","paddingTop":"","textAlign":"center","textMark":[{"_":"font_size","value":"12pt"}]},"content":[{"attrs":{},"marks":[{"_":"font_size","value":"12pt"},{"_":"font_family","value":"Times New Roman"}],"text":"Цена без НДС, акциза,","type":"text"}],"type":"paragraph"},{"attrs":{"lineHeight":"1.15","paddingBottom":"","paddingLeft":"2.4pt","paddingTop":"","textAlign":"center","textMark":[{"_":"font_size","value":"12pt"}]},"content":[{"attrs":{},"marks":[{"_":"font_size","value":"12pt"},{"_":"font_family","value":"Times New Roman"}],"text":"таможенной","type":"text"}],"type":"paragraph"},{"attrs":{"lineHeight":"1.15","paddingBottom":"","paddingLeft":"2.4pt","paddingTop":"","textAlign":"center","textMark":[{"_":"font_size","value":"12pt"}]},"content":[{"attrs":{},"marks":[{"_":"font_size","value":"12pt"},{"_":"font_family","value":"Times New Roman"}],"text":"пошлины","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3.15pt","paddingTop":"","textAlign":"center","textMark":[{"_":"font_size","value":"12pt"}]},"content":[{"attrs":{},"marks":[{"_":"font_size","value":"12pt"},{"_":"font_family","value":"Times New Roman"}],"text":"Акциз","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-0.75pt","paddingTop":"","textAlign":"center","textMark":[{"_":"font_size","value":"12pt"}]},"content":[{"attrs":{},"marks":[{"_":"font_size","value":"12pt"},{"_":"font_family","value":"Times New Roman"}],"text":"Таможенная пошлин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pt","paddingTop":"","textAlign":"center","textMark":[{"_":"font_size","value":"12pt"}]},"content":[{"attrs":{},"marks":[{"_":"font_size","value":"12pt"},{"_":"font_family","value":"Times New Roman"}],"text":"НДС","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6pt","paddingTop":"","textAlign":"center","textMark":[{"_":"font_size","value":"12pt"}]},"content":[{"attrs":{},"marks":[{"_":"font_size","value":"12pt"},{"_":"font_family","value":"Times New Roman"}],"text":"Цена с НДС,","type":"text"}],"type":"paragraph"},{"attrs":{"lineHeight":"1.15","paddingBottom":"","paddingLeft":"2.85pt","paddingTop":"","textAlign":"center","textMark":[{"_":"font_size","value":"12pt"}]},"content":[{"attrs":{},"marks":[{"_":"font_size","value":"12pt"},{"_":"font_family","value":"Times New Roman"}],"text":"акцизом, таможенной пошлиной","type":"text"}],"type":"paragraph"}],"type":"table_cell"}],"type":"table_row"},{"attrs":{"height":14},"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type":"table_row"},{"attrs":{"height":13},"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14pt"}]},"content":[{"attrs":{},"marks":[{"_":"font_size","value":"14pt"}],"text":" ","type":"text"}],"type":"paragraph"}],"type":"table_cell"}],"type":"table_row"}],"type":"table"},{"attrs":{"lineHeight":"1","paddingBottom":"","paddingLeft":"0pt","paddingTop":"","textAlign":"justify","textIndent":true,"textMark":[{"_":"font_size","value":"14pt"}]},"content":[{"attrs":{},"marks":[{"_":"font_size","value":"14pt"},{"_":"font_family","value":"Times New Roman"}],"text":"В таблицу включаются, как правило, материальные затраты, величина которых прямо пропорциональна объему производства (сырье, материалы ","type":"text"},{"attrs":{},"marks":[{"_":"font_size","value":"14pt"}],"type":"hard_break"},{"attrs":{},"marks":[{"_":"font_size","value":"14pt"},{"_":"font_family","value":"Times New Roman"}],"text":"и комплектующие, энерго-, тепло-, водопотребление, тара и упаковка и т.п.).","type":"text"}],"type":"paragraph"},{"attrs":{"lineHeight":"1","paddingBottom":"","paddingLeft":"0pt","paddingTop":"","textAlign":"justify","textIndent":true,"textMark":[{"_":"font_size","value":"14pt"}]},"content":[{"attrs":{},"marks":[{"_":"font_size","value":"14pt"},{"_":"font_family","value":"Times New Roman"}],"text":"Примерный перечень материальных затрат, учитывающий специфику проектов сельскохозяйственного производства (без разделения на прямые материальные затраты и накладные расходы):","type":"text"}],"type":"paragraph"},{"attrs":{},"content":[{"attrs":{"listMarks":[{"_":"font_size","value":"14pt"}]},"content":[{"attrs":{"lineHeight":"1","paddingBottom":"","paddingLeft":"28.85pt","paddingTop":"","textAlign":"justify","textMark":[{"_":"font_size","value":"14pt"}]},"content":[{"attrs":{},"marks":[{"_":"font_size","value":"14pt"},{"_":"font_family","value":"Times New Roman"}],"text":"семена и посадочный материал;","type":"text"}],"type":"paragraph"}],"type":"list_item"},{"attrs":{"listMarks":[{"_":"font_size","value":"14pt"}]},"content":[{"attrs":{"lineHeight":"1","paddingBottom":"","paddingLeft":"28.85pt","paddingTop":"","textAlign":"justify","textMark":[{"_":"font_size","value":"14pt"}]},"content":[{"attrs":{},"marks":[{"_":"font_size","value":"14pt"},{"_":"font_family","value":"Times New Roman"}],"text":"удобрения минеральные и органические; средства защиты растений ","type":"text"},{"attrs":{},"marks":[{"_":"font_size","value":"14pt"}],"type":"hard_break"},{"attrs":{},"marks":[{"_":"font_size","value":"14pt"},{"_":"font_family","value":"Times New Roman"}],"text":"и животных; корма;","type":"text"}],"type":"paragraph"}],"type":"list_item"},{"attrs":{"listMarks":[{"_":"font_size","value":"14pt"}]},"content":[{"attrs":{"lineHeight":"1","paddingBottom":"","paddingLeft":"28.85pt","paddingTop":"","textAlign":"justify","textMark":[{"_":"font_size","value":"14pt"}]},"content":[{"attrs":{},"marks":[{"_":"font_size","value":"14pt"},{"_":"font_family","value":"Times New Roman"}],"text":"сырье для переработки; ГСМ и топливо;","type":"text"}],"type":"paragraph"}],"type":"list_item"},{"attrs":{"listMarks":[{"_":"font_size","value":"14pt"}]},"content":[{"attrs":{"lineHeight":"1","paddingBottom":"","paddingLeft":"28.85pt","paddingTop":"","textAlign":"justify","textMark":[{"_":"font_size","value":"14pt"}]},"content":[{"attrs":{},"marks":[{"_":"font_size","value":"14pt"},{"_":"font_family","value":"Times New Roman"}],"text":"энерго-, тепло- и водопотребление;","type":"text"}],"type":"paragraph"}],"type":"list_item"},{"attrs":{"listMarks":[{"_":"font_size","value":"14pt"}]},"content":[{"attrs":{"lineHeight":"1","paddingBottom":"","paddingLeft":"28.85pt","paddingTop":"","textAlign":"justify","textMark":[{"_":"font_size","value":"14pt"}]},"content":[{"attrs":{},"marks":[{"_":"font_size","value":"14pt"},{"_":"font_family","value":"Times New Roman"}],"text":"запасные части и материалы для ремонта основных средств (обычно входят в состав накладных расходов);","type":"text"}],"type":"paragraph"}],"type":"list_item"},{"attrs":{"listMarks":[{"_":"font_size","value":"14pt"}]},"content":[{"attrs":{"lineHeight":"1","paddingBottom":"","paddingLeft":"28.85pt","paddingTop":"","textAlign":"justify","textMark":[{"_":"font_size","value":"14pt"}]},"content":[{"attrs":{},"marks":[{"_":"font_size","value":"14pt"},{"_":"font_family","value":"Times New Roman"}],"text":"затраты на работы и услуги производственного характера (оплата транспорта, ремонта сельхозтехники и т.п. – обычно входят в состав накладных расходов);","type":"text"}],"type":"paragraph"}],"type":"list_item"},{"attrs":{"listMarks":[{"_":"font_size","value":"14pt"}]},"content":[{"attrs":{"lineHeight":"1","paddingBottom":"","paddingLeft":"28.85pt","paddingTop":"","textAlign":"justify","textMark":[{"_":"font_size","value":"14pt"}]},"content":[{"attrs":{},"marks":[{"_":"font_size","value":"14pt"},{"_":"font_family","value":"Times New Roman"}],"text":"прочие материальные затраты, не вошедшие в накладные расходы предприятия.","type":"text"}],"type":"paragraph"}],"type":"list_item"}],"type":"bullet_list"},{"attrs":{"lineHeight":"1","paddingBottom":"","paddingLeft":"0pt","paddingTop":"","textAlign":"justify","textIndent":true,"textMark":[{"_":"font_size","value":"14pt"}]},"content":[{"attrs":{},"marks":[{"_":"font_size","value":"14pt"},{"_":"font_family","value":"Times New Roman"},{"_":"strong"}],"text":"Сезонные колебания цен прямых материальных затрат ","type":"text"},{"attrs":{},"marks":[{"_":"font_size","value":"14pt"},{"_":"font_family","value":"Times New Roman"}],"text":"(с учетом инфляции).","type":"text"}],"type":"paragraph"},{"attrs":{"lineHeight":"1","paddingBottom":"","paddingLeft":"0pt","paddingTop":"","textAlign":"justify","textIndent":true,"textMark":[{"_":"font_size","value":"14pt"}]},"content":[{"attrs":{},"marks":[{"_":"font_size","value":"14pt"},{"_":"font_family","value":"Times New Roman"}],"text":"Цены указываются в процентах для каждого квартала, при условии наличия ярко выраженной сезонности. За 100% принимается цена, приведенная в предыдущей таблице.","type":"text"}],"type":"paragraph"},{"attrs":{"colgroup":[{"width":43},{"width":202},{"width":99},{"width":99},{"width":99},{"width":99}],"synotable":"8bpMDdo6S1"},"content":[{"attrs":{"height":12},"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1.7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2.55pt","paddingTop":"","textAlign":"center","textMark":[{"_":"font_size","value":"12pt"}]},"content":[{"attrs":{},"marks":[{"_":"font_size","value":"12pt"},{"_":"font_family","value":"Times New Roman"}],"text":"Наименование продукци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4,"rowspan":1,"verticalAlign":"middle"},"content":[{"attrs":{"lineHeight":"1.15","paddingBottom":"","paddingLeft":"0pt","paddingTop":"","textAlign":"center","textIndent":true,"textMark":[{"_":"font_size","value":"12pt"}]},"content":[{"attrs":{},"marks":[{"_":"font_size","value":"12pt"},{"_":"font_family","value":"Times New Roman"}],"text":"Номер квартал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0.15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0.2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0.1pt","paddingTop":"","textAlign":"center","textMark":[{"_":"font_size","value":"12pt"}]},"content":[{"attrs":{},"marks":[{"_":"font_size","value":"12pt"},{"_":"font_family","value":"Times New Roman"}],"text":"3","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4","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type":"table"},{"attrs":{"lineHeight":"1","paddingBottom":"","paddingLeft":"0pt","paddingTop":"","textAlign":"justify","textIndent":true,"textMark":[{"_":"font_size","value":"14pt"}]},"content":[{"attrs":{},"marks":[{"_":"font_size","value":"14pt"},{"_":"font_family","value":"Times New Roman"}],"text":"При отсутствии сезонных колебаний цен данная таблица не приводится.","type":"text"}],"type":"paragraph"},{"attrs":{"order":1},"content":[{"attrs":{"listMarks":[]},"content":[{"attrs":{"order":1},"content":[{"attrs":{"listMarks":[]},"content":[{"attrs":{"order":1},"content":[{"attrs":{"listMarks":[{"_":"font_size","value":"14pt"}]},"content":[{"attrs":{"lineHeight":"1","paddingBottom":"","paddingLeft":"18pt","paddingTop":"","textAlign":"justify","textMark":[{"_":"font_size","value":"14pt"}]},"content":[{"attrs":{},"marks":[{"_":"font_size","value":"14pt"},{"_":"font_family","value":"Times New Roman"},{"_":"strong"}],"text":"Калькуляция прямых материальных затрат на производство единицы продукции ","type":"text"},{"attrs":{},"marks":[{"_":"font_size","value":"14pt"},{"_":"font_family","value":"Times New Roman"}],"text":"(в натуральном и стоимостном выражении и нормативах на единицу продукции).","type":"text"}],"type":"paragraph"}],"type":"list_item"}],"type":"ordered_list"}],"type":"list_item"}],"type":"ordered_list"}],"type":"list_item"}],"type":"ordered_list"},{"attrs":{"lineHeight":"1","paddingBottom":"","paddingLeft":"0pt","paddingTop":"","textAlign":"justify","textIndent":true,"textMark":[{"_":"font_size","value":"14pt"}]},"content":[{"attrs":{},"marks":[{"_":"font_size","value":"14pt"},{"_":"font_family","value":"Times New Roman"}],"text":"Для проектов сельскохозяйственного производства необходимо дополнительно привести нормы расхода на единицу обрабатываемых площадей с учетом принятого севооборота.","type":"text"}],"type":"paragraph"},{"attrs":{"lineHeight":"1","paddingBottom":"","paddingLeft":"0pt","paddingTop":"","textAlign":"justify","textIndent":true,"textMark":[{"_":"font_size","value":"14pt"}]},"content":[{"attrs":{},"marks":[{"_":"font_size","value":"14pt"},{"_":"font_family","value":"Times New Roman"}],"text":"Приводится отдельная таблица для каждого вида продукции проекта.","type":"text"}],"type":"paragraph"},{"attrs":{"colgroup":[{"width":39},{"width":132},{"width":66},{"width":71},{"width":72},{"width":72},{"width":84},{"width":100}],"synotable":"iLgUd8725j"},"content":[{"attrs":{"height":71},"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4.35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Roman"}],"text":"Наименование  статей прямых материальных затрат","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center","textMark":[{"_":"font_size","value":"12pt"}]},"content":[{"attrs":{},"marks":[{"_":"font_size","value":"12pt"},{"_":"font_family","value":"Times New Roman"}],"text":"Ед. изм. статьи затрат","type":"text"}],"type":"paragraph"},{"attrs":{"lineHeight":"1.15","paddingBottom":"","paddingLeft":"6.55pt","paddingTop":"","textAlign":"center","textMark":[{"_":"font_size","value":"12pt"}]},"content":[{"attrs":{},"marks":[{"_":"font_size","value":"12pt"},{"_":"font_family","value":"Times New Roman"}],"text":"---------","type":"text"}],"type":"paragraph"},{"attrs":{"lineHeight":"1.15","paddingBottom":"","paddingLeft":"6.55pt","paddingTop":"","textAlign":"center","textMark":[{"_":"font_size","value":"12pt"}]},"content":[{"attrs":{},"marks":[{"_":"font_size","value":"12pt"},{"_":"font_family","value":"Times New Roman"}],"text":"Ед. изм.","type":"text"}],"type":"paragraph"},{"attrs":{"lineHeight":"1.15","paddingBottom":"","paddingLeft":"0pt","paddingTop":"","textAlign":"center","textMark":[{"_":"font_size","value":"12pt"}]},"content":[{"attrs":{},"marks":[{"_":"font_size","value":"12pt"},{"_":"font_family","value":"Times New Roman"}],"text":"продук- ци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Roman"}],"text":"Норма расхода (ед. изм. статьи затрат)","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1.55pt","paddingTop":"","textAlign":"center","textMark":[{"_":"font_size","value":"12pt"}]},"content":[{"attrs":{},"marks":[{"_":"font_size","value":"12pt"},{"_":"font_family","value":"Times New Roman"}],"text":"в т.ч., потери: хранения и техноло-гические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5.7pt","paddingTop":"","textAlign":"center","textMark":[{"_":"font_size","value":"12pt"}]},"content":[{"attrs":{},"marks":[{"_":"font_size","value":"12pt"},{"_":"font_family","value":"Times New Roman"}],"text":"Цена за ед. изм. статьи затрат","type":"text"}],"type":"paragraph"},{"attrs":{"lineHeight":"1.15","paddingBottom":"","paddingLeft":"4.2pt","paddingTop":"","textAlign":"center","textMark":[{"_":"font_size","value":"12pt"}]},"content":[{"attrs":{},"marks":[{"_":"font_size","value":"12pt"},{"_":"font_family","value":"Times New Roman"}],"text":"без НДС (валюта платеж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3.95pt","paddingTop":"","textAlign":"center","textMark":[{"_":"font_size","value":"12pt"}]},"content":[{"attrs":{},"marks":[{"_":"font_size","value":"12pt"},{"_":"font_family","value":"Times New Roman"}],"text":"Стоимость статьи затрат (валюта платеж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-0.7pt","paddingTop":"","textAlign":"center","textIndent":true,"textMark":[{"_":"font_size","value":"12pt"}]},"content":[{"attrs":{},"marks":[{"_":"font_size","value":"12pt"},{"_":"font_family","value":"Times New Roman"}],"text":"Стоимость статьи затрат (руб.)","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4.35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4.35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4.35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6,"rowspan":1,"verticalAlign":"middle"},"content":[{"attrs":{"lineHeight":"1.15","paddingBottom":"","paddingLeft":"5.35pt","paddingTop":"","textAlign":"","textMark":[{"_":"font_size","value":"12pt"}]},"content":[{"attrs":{},"marks":[{"_":"font_size","value":"12pt"},{"_":"font_family","value":"Times New Roman"}],"text":"Всего прямых материальных затрат","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type":"table"},{"attrs":{"order":1},"content":[{"attrs":{"listMarks":[]},"content":[{"attrs":{"order":1},"content":[{"attrs":{"listMarks":[]},"content":[{"attrs":{"order":1},"content":[{"attrs":{"listMarks":[{"_":"font_size","value":"14pt"}]},"content":[{"attrs":{"lineHeight":"1","paddingBottom":"","paddingLeft":"18pt","paddingTop":"","textAlign":"justify","textMark":[{"_":"font_size","value":"14pt"}]},"content":[{"attrs":{},"marks":[{"_":"font_size","value":"14pt"},{"_":"font_family","value":"Times New Roman"},{"_":"strong"}],"text":"Численность персонала и заработная плата ","type":"text"},{"attrs":{},"marks":[{"_":"font_size","value":"14pt"},{"_":"font_family","value":"Times New Roman"}],"text":"(без единого социального налога)","type":"text"}],"type":"paragraph"}],"type":"list_item"}],"type":"ordered_list"}],"type":"list_item"}],"type":"ordered_list"}],"type":"list_item"}],"type":"ordered_list"},{"attrs":{"colgroup":[{"width":35},{"width":146},{"width":85},{"width":66},{"width":66},{"width":66},{"width":66},{"width":103}],"synotable":"3kcVhfO1la"},"content":[{"attrs":{"height":12},"content":[{"attrs":{"borderBottomColor":"#000000","borderBottomStyle":"solid","borderBottomWidth":1,"borderLeftColor":"#000000","borderLeftStyle":"solid","borderLeftWidth":1,"borderRightColor":"#000000","borderRightStyle":"solid","borderRightWidth":1,"borderTopColor":"#000000","borderTopStyle":"solid","borderTopWidth":1,"colspan":1,"rowspan":3,"verticalAlign":"middle"},"content":[{"attrs":{"lineHeight":"1.15","paddingBottom":"","paddingLeft":"1.7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3,"verticalAlign":"middle"},"content":[{"attrs":{"lineHeight":"1.15","paddingBottom":"","paddingLeft":"5.35pt","paddingTop":"","textAlign":"center","textMark":[{"_":"font_size","value":"12pt"}]},"content":[{"attrs":{},"marks":[{"_":"font_size","value":"12pt"},{"_":"font_family","value":"Times New Roman"}],"text":"Наименование категории персонал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3,"verticalAlign":"middle"},"content":[{"attrs":{"lineHeight":"1.15","paddingBottom":"","paddingLeft":"0pt","paddingTop":"","textAlign":"center","textMark":[{"_":"font_size","value":"12pt"}]},"content":[{"attrs":{},"marks":[{"_":"font_size","value":"12pt"},{"_":"font_family","value":"Times New Roman"}],"text":"Средняя зарплата","type":"text"}],"type":"paragraph"},{"attrs":{"lineHeight":"1.15","paddingBottom":"","paddingLeft":"0pt","paddingTop":"","textAlign":"center","textMark":[{"_":"font_size","value":"12pt"}]},"content":[{"attrs":{},"marks":[{"_":"font_size","value":"12pt"},{"_":"font_family","value":"Times New Roman"}],"text":"работника ","type":"text"},{"attrs":{},"marks":[{"_":"font_size","value":"12pt"}],"type":"hard_break"},{"attrs":{},"marks":[{"_":"font_size","value":"12pt"},{"_":"font_family","value":"Times New Roman"}],"text":"в месяц (руб.)","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5,"rowspan":1,"verticalAlign":"middle"},"content":[{"attrs":{"lineHeight":"1.15","paddingBottom":"","paddingLeft":"0pt","paddingTop":"","textAlign":"center","textMark":[{"_":"font_size","value":"12pt"}]},"content":[{"attrs":{},"marks":[{"_":"font_size","value":"12pt"},{"_":"font_family","value":"Times New Roman"}],"text":"Номер интервала планирования (мес.)","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type":"table_row"},{"attrs":{"height":28},"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attrs":{"lineHeight":"1.15","paddingBottom":"","paddingLeft":"0.05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attrs":{"lineHeight":"1.15","paddingBottom":"","paddingLeft":"0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attrs":{"lineHeight":"1.15","paddingBottom":"","paddingLeft":"0pt","paddingTop":"","textAlign":"center","textMark":[{"_":"font_size","value":"12pt"}]},"content":[{"attrs":{},"marks":[{"_":"font_size","value":"12pt"},{"_":"font_family","value":"Times New Roman"}],"text":"3","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attrs":{"lineHeight":"1.15","paddingBottom":"","paddingLeft":"0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1.55pt","paddingTop":"","textAlign":"center","textMark":[{"_":"font_size","value":"12pt"}]},"content":[{"attrs":{},"marks":[{"_":"font_size","value":"12pt"},{"_":"font_family","value":"Times New Roman"}],"text":"Выход на проектную","type":"text"}],"type":"paragraph"},{"attrs":{"lineHeight":"1.15","paddingBottom":"","paddingLeft":"1.55pt","paddingTop":"","textAlign":"center","textMark":[{"_":"font_size","value":"12pt"}]},"content":[{"attrs":{},"marks":[{"_":"font_size","value":"12pt"},{"_":"font_family","value":"Times New Roman"}],"text":"мощность","type":"text"}],"type":"paragraph"}],"type":"table_cell"}],"type":"table_row"},{"attrs":{"height":3},"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5,"rowspan":1,"verticalAlign":"middle"},"content":[{"attrs":{"lineHeight":"1.15","paddingBottom":"","paddingLeft":"0pt","paddingTop":"","textAlign":"center","textMark":[{"_":"font_size","value":"12pt"}]},"content":[{"attrs":{},"marks":[{"_":"font_size","value":"12pt"},{"_":"font_family","value":"Times New Roman"}],"text":"Численность (чел.)","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type":"table_row"},{"attrs":{"height":24},"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Основной","type":"text"}],"type":"paragraph"},{"attrs":{"lineHeight":"1.15","paddingBottom":"","paddingLeft":"5.35pt","paddingTop":"","textAlign":"","textMark":[{"_":"font_size","value":"12pt"}]},"content":[{"attrs":{},"marks":[{"_":"font_size","value":"12pt"},{"_":"font_family","value":"Times New Roman"}],"text":"производственный","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24},"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Вспомогательный","type":"text"}],"type":"paragraph"},{"attrs":{"lineHeight":"1.15","paddingBottom":"","paddingLeft":"5.35pt","paddingTop":"","textAlign":"","textMark":[{"_":"font_size","value":"12pt"}]},"content":[{"attrs":{},"marks":[{"_":"font_size","value":"12pt"},{"_":"font_family","value":"Times New Roman"}],"text":"производственный","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24},"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3.","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Административно-","type":"text"}],"type":"paragraph"},{"attrs":{"lineHeight":"1.15","paddingBottom":"","paddingLeft":"5.35pt","paddingTop":"","textAlign":"","textMark":[{"_":"font_size","value":"12pt"}]},"content":[{"attrs":{},"marks":[{"_":"font_size","value":"12pt"},{"_":"font_family","value":"Times New Roman"}],"text":"управленческий","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3},"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4.","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Сбытовой","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type":"table"},{"attrs":{"lineHeight":"1","paddingBottom":"","paddingLeft":"0pt","paddingTop":"","textAlign":"justify","textIndent":true,"textMark":[{"_":"font_size","value":"14pt"}]},"content":[{"attrs":{},"marks":[{"_":"font_size","value":"14pt"},{"_":"font_family","value":"Times New Roman"}],"text":"Разбиение на категории может быть изменено в соответствии ","type":"text"},{"attrs":{},"marks":[{"_":"font_size","value":"14pt"}],"type":"hard_break"},{"attrs":{},"marks":[{"_":"font_size","value":"14pt"},{"_":"font_family","value":"Times New Roman"}],"text":"со спецификой проекта, как в сторону сокращения, так и в сторону детализации.","type":"text"}],"type":"paragraph"},{"attrs":{"order":1},"content":[{"attrs":{"listMarks":[]},"content":[{"attrs":{"order":1},"content":[{"attrs":{"listMarks":[]},"content":[{"attrs":{"order":1},"content":[{"attrs":{"listMarks":[{"_":"font_size","value":"14pt"}]},"content":[{"attrs":{"lineHeight":"1","paddingBottom":"","paddingLeft":"18pt","paddingTop":"","textAlign":"justify","textMark":[{"_":"font_size","value":"14pt"}]},"content":[{"attrs":{},"marks":[{"_":"font_size","value":"14pt"},{"_":"font_family","value":"Times New Roman"},{"_":"strong"}],"text":"Накладные расходы","type":"text"}],"type":"paragraph"}],"type":"list_item"}],"type":"ordered_list"}],"type":"list_item"}],"type":"ordered_list"}],"type":"list_item"}],"type":"ordered_list"},{"attrs":{"lineHeight":"1","paddingBottom":"","paddingLeft":"0pt","paddingTop":"","textAlign":"justify","textIndent":true,"textMark":[{"_":"font_size","value":"14pt"}]},"content":[{"attrs":{},"marks":[{"_":"font_size","value":"14pt"},{"_":"font_family","value":"Times New Roman"}],"text":"Указать базу и норму (%) исчисления, а также перечень основных ","type":"text"},{"attrs":{},"marks":[{"_":"font_size","value":"14pt"}],"type":"hard_break"},{"attrs":{},"marks":[{"_":"font_size","value":"14pt"},{"_":"font_family","value":"Times New Roman"}],"text":"(по объему затрат) статей, условно разбитых на три категории: общехозяйственные, административные, сбытовые.","type":"text"}],"type":"paragraph"},{"attrs":{"colgroup":[{"width":35},{"width":261},{"width":168},{"width":170}],"synotable":"Uewp5jVHZZ"},"content":[{"attrs":{"height":24},"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center","textMark":[{"_":"font_size","value":"12pt"}]},"content":[{"attrs":{},"marks":[{"_":"font_size","value":"12pt"},{"_":"font_family","value":"Times New Roman"}],"text":"Наименование статей ","type":"text"},{"attrs":{},"marks":[{"_":"font_size","value":"12pt"}],"type":"hard_break"},{"attrs":{},"marks":[{"_":"font_size","value":"12pt"},{"_":"font_family","value":"Times New Roman"}],"text":"накладных расходов","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center","textMark":[{"_":"font_size","value":"12pt"}]},"content":[{"attrs":{},"marks":[{"_":"font_size","value":"12pt"},{"_":"font_family","value":"Times New Roman"}],"text":"Норма исчисления (%)","type":"text"}],"type":"paragraph"},{"attrs":{"lineHeight":"1.15","paddingBottom":"","paddingLeft":"5.35pt","paddingTop":"","textAlign":"center","textMark":[{"_":"font_size","value":"12pt"}]},"content":[{"attrs":{},"marks":[{"_":"font_size","value":"12pt"},{"_":"font_family","value":"Times New Roman"}],"text":"или сумма (руб.)","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pt","paddingTop":"","textAlign":"center","textMark":[{"_":"font_size","value":"12pt"}]},"content":[{"attrs":{},"marks":[{"_":"font_size","value":"12pt"},{"_":"font_family","value":"Times New Roman"}],"text":"База исчисления","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0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Общехозяйственные","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0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Административные","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0pt","paddingTop":"","textAlign":"center","textMark":[{"_":"font_size","value":"12pt"}]},"content":[{"attrs":{},"marks":[{"_":"font_size","value":"12pt"},{"_":"font_family","value":"Times New Roman"}],"text":"3.","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Сбытовые","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type":"table"},{"attrs":{"lineHeight":"1","paddingBottom":"","paddingLeft":"0pt","paddingTop":"","textAlign":"justify","textIndent":true,"textMark":[{"_":"font_size","value":"14pt"}]},"content":[{"attrs":{},"marks":[{"_":"font_size","value":"14pt"},{"_":"font_family","value":"Times New Roman"}],"text":"При этом ","type":"text"},{"attrs":{},"marks":[{"_":"font_size","value":"14pt"},{"_":"font_family","value":"Times New Roman"},{"_":"strong"}],"text":"в состав накладных расходов не включаются следующие элементы: заработная плата, амортизация, налоги, проценты ","type":"text"},{"attrs":{},"marks":[{"_":"font_size","value":"14pt"}],"type":"hard_break"},{"attrs":{},"marks":[{"_":"font_size","value":"14pt"},{"_":"font_family","value":"Times New Roman"},{"_":"strong"}],"text":"и лизинговые платежи","type":"text"},{"attrs":{},"marks":[{"_":"font_size","value":"14pt"},{"_":"font_family","value":"Times New Roman"}],"text":". Эти элементы затрат указываются в других разделах бизнес-плана.","type":"text"}],"type":"paragraph"},{"attrs":{"lineHeight":"1","paddingBottom":"","paddingLeft":"0pt","paddingTop":"","textAlign":"justify","textIndent":true,"textMark":[{"_":"font_size","value":"14pt"}]},"content":[{"attrs":{},"marks":[{"_":"font_size","value":"14pt"},{"_":"font_family","value":"Times New Roman"}],"text":"База исчисления статьи накладных расходов должна соответствовать ","type":"text"},{"attrs":{},"marks":[{"_":"font_size","value":"14pt"}],"type":"hard_break"},{"attrs":{},"marks":[{"_":"font_size","value":"14pt"},{"_":"font_family","value":"Times New Roman"}],"text":"ее экономическому смыслу, а именно: возможна зависимость накладных расходов от выручки, заработной платы, стоимости оборудования и т.п., например, расходы на содержание склада пропорциональны величине запасов, сбытовые расходы зависят от объема реализации и т.п. Если такая зависимость имеет место, то данную статью накладных расходов следует описывать через норму (%) и базу исчисления величины расходов. Условно-постоянные накладные расходы задаются суммой затрат в год.","type":"text"}],"type":"paragraph"},{"attrs":{"lineHeight":"1","paddingBottom":"","paddingLeft":"0pt","paddingTop":"","textAlign":"justify","textIndent":true,"textMark":[{"_":"font_size","value":"14pt"}]},"content":[{"attrs":{},"marks":[{"_":"font_size","value":"14pt"},{"_":"font_family","value":"Times New Roman"}],"text":"Ниже приведен примерный перечень статей накладных расходов, условно разбитых на три категории:","type":"text"}],"type":"paragraph"},{"attrs":{"lineHeight":"1","paddingBottom":"","paddingLeft":"0pt","paddingTop":"","textAlign":"","textIndent":true,"textMark":[{"_":"font_size","value":"14pt"}]},"content":[{"attrs":{},"marks":[{"_":"font_size","value":"14pt"},{"_":"font_family","value":"Times New Roman"},{"_":"strong"}],"text":"Общехозяйственные:","type":"text"}],"type":"paragraph"},{"attrs":{},"content":[{"attrs":{"listMarks":[{"_":"font_size","value":"14pt"}]},"content":[{"attrs":{"lineHeight":"1","paddingBottom":"","paddingLeft":"28.85pt","paddingTop":"","textAlign":"justify","textMark":[{"_":"font_size","value":"14pt"}]},"content":[{"attrs":{},"marks":[{"_":"font_size","value":"14pt"},{"_":"font_family","value":"Times New Roman"}],"text":"затраты на содержание и ремонт зданий и сооружений производственного назначения; затраты на аренду объектов основных производственных фондов;","type":"text"}],"type":"paragraph"}],"type":"list_item"},{"attrs":{"listMarks":[{"_":"font_size","value":"14pt"}]},"content":[{"attrs":{"lineHeight":"1","paddingBottom":"","paddingLeft":"28.85pt","paddingTop":"","textAlign":"justify","textMark":[{"_":"font_size","value":"14pt"}]},"content":[{"attrs":{},"marks":[{"_":"font_size","value":"14pt"},{"_":"font_family","value":"Times New Roman"}],"text":"затраты на аренду земли сельскохозяйственного назначения; затраты по эксплуатации оборудования;","type":"text"}],"type":"paragraph"}],"type":"list_item"},{"attrs":{"listMarks":[{"_":"font_size","value":"14pt"}]},"content":[{"attrs":{"lineHeight":"1","paddingBottom":"","paddingLeft":"28.85pt","paddingTop":"","textAlign":"justify","textMark":[{"_":"font_size","value":"14pt"}]},"content":[{"attrs":{},"marks":[{"_":"font_size","value":"14pt"},{"_":"font_family","value":"Times New Roman"}],"text":"текущий ремонт оборудования и транспортных средств;","type":"text"}],"type":"paragraph"}],"type":"list_item"},{"attrs":{"listMarks":[{"_":"font_size","value":"14pt"}]},"content":[{"attrs":{"lineHeight":"1","paddingBottom":"","paddingLeft":"28.85pt","paddingTop":"","textAlign":"justify","textMark":[{"_":"font_size","value":"14pt"}]},"content":[{"attrs":{},"marks":[{"_":"font_size","value":"14pt"},{"_":"font_family","value":"Times New Roman"}],"text":"внутризаводские транспортные затраты, связанные ","type":"text"},{"attrs":{},"marks":[{"_":"font_size","value":"14pt"}],"type":"hard_break"},{"attrs":{},"marks":[{"_":"font_size","value":"14pt"},{"_":"font_family","value":"Times New Roman"}],"text":"с производственными процессами; затраты на охрану окружающей среды;","type":"text"}],"type":"paragraph"}],"type":"list_item"},{"attrs":{"listMarks":[{"_":"font_size","value":"14pt"}]},"content":[{"attrs":{"lineHeight":"1","paddingBottom":"","paddingLeft":"28.85pt","paddingTop":"","textAlign":"justify","textMark":[{"_":"font_size","value":"14pt"}]},"content":[{"attrs":{},"marks":[{"_":"font_size","value":"14pt"},{"_":"font_family","value":"Times New Roman"}],"text":"затраты на переработку, утилизацию и удаление отходов;","type":"text"}],"type":"paragraph"}],"type":"list_item"},{"attrs":{"listMarks":[{"_":"font_size","value":"14pt"}]},"content":[{"attrs":{"lineHeight":"1","paddingBottom":"","paddingLeft":"28.85pt","paddingTop":"","textAlign":"justify","textMark":[{"_":"font_size","value":"14pt"}]},"content":[{"attrs":{},"marks":[{"_":"font_size","value":"14pt"},{"_":"font_family","value":"Times New Roman"}],"text":"платежи за предельно допустимые выбросы загрязняющих веществ; затраты на охрану труда;","type":"text"}],"type":"paragraph"}],"type":"list_item"},{"attrs":{"listMarks":[{"_":"font_size","value":"14pt"}]},"content":[{"attrs":{"lineHeight":"1","paddingBottom":"","paddingLeft":"28.85pt","paddingTop":"","textAlign":"justify","textMark":[{"_":"font_size","value":"14pt"}]},"content":[{"attrs":{},"marks":[{"_":"font_size","value":"14pt"},{"_":"font_family","value":"Times New Roman"}],"text":"затраты на текущую подготовку и переподготовку кадров; затраты ","type":"text"},{"attrs":{},"marks":[{"_":"font_size","value":"14pt"}],"type":"hard_break"},{"attrs":{},"marks":[{"_":"font_size","value":"14pt"},{"_":"font_family","value":"Times New Roman"}],"text":"на проведение испытаний, опытов, исследований; затраты на содержание лабораторий;","type":"text"}],"type":"paragraph"}],"type":"list_item"},{"attrs":{"listMarks":[{"_":"font_size","value":"14pt"}]},"content":[{"attrs":{"lineHeight":"1","paddingBottom":"","paddingLeft":"28.85pt","paddingTop":"","textAlign":"justify","textMark":[{"_":"font_size","value":"14pt"}]},"content":[{"attrs":{},"marks":[{"_":"font_size","value":"14pt"},{"_":"font_family","value":"Times New Roman"}],"text":"затраты на изобретательство и рационализацию; оплата работ ","type":"text"},{"attrs":{},"marks":[{"_":"font_size","value":"14pt"}],"type":"hard_break"},{"attrs":{},"marks":[{"_":"font_size","value":"14pt"},{"_":"font_family","value":"Times New Roman"}],"text":"по сертификации продукции.","type":"text"}],"type":"paragraph"}],"type":"list_item"}],"type":"bullet_list"},{"attrs":{"lineHeight":"1","paddingBottom":"","paddingLeft":"0pt","paddingTop":"","textAlign":"","textIndent":true,"textMark":[{"_":"font_size","value":"14pt"}]},"content":[{"attrs":{},"marks":[{"_":"font_size","value":"14pt"},{"_":"font_family","value":"Times New Roman"},{"_":"strong"}],"text":"Административные:","type":"text"}],"type":"paragraph"},{"attrs":{},"content":[{"attrs":{"listMarks":[{"_":"font_size","value":"14pt"}]},"content":[{"attrs":{"lineHeight":"1","paddingBottom":"","paddingLeft":"28.85pt","paddingTop":"","textAlign":"justify","textMark":[{"_":"font_size","value":"14pt"}]},"content":[{"attrs":{},"marks":[{"_":"font_size","value":"14pt"},{"_":"font_family","value":"Times New Roman"}],"text":"страхование собственности (имущества);","type":"text"}],"type":"paragraph"}],"type":"list_item"},{"attrs":{"listMarks":[{"_":"font_size","value":"14pt"}]},"content":[{"attrs":{"lineHeight":"1","paddingBottom":"","paddingLeft":"28.85pt","paddingTop":"","textAlign":"justify","textMark":[{"_":"font_size","value":"14pt"}]},"content":[{"attrs":{},"marks":[{"_":"font_size","value":"14pt"},{"_":"font_family","value":"Times New Roman"}],"text":"аренда земли (кроме земель сельскохозяйственного назначения);","type":"text"}],"type":"paragraph"}],"type":"list_item"},{"attrs":{"listMarks":[{"_":"font_size","value":"14pt"}]},"content":[{"attrs":{"lineHeight":"1","paddingBottom":"","paddingLeft":"28.85pt","paddingTop":"","textAlign":"justify","textMark":[{"_":"font_size","value":"14pt"}]},"content":[{"attrs":{},"marks":[{"_":"font_size","value":"14pt"},{"_":"font_family","value":"Times New Roman"}],"text":"затраты на содержание обеспечивающих служб и подразделений ","type":"text"},{"attrs":{},"marks":[{"_":"font_size","value":"14pt"}],"type":"hard_break"},{"attrs":{},"marks":[{"_":"font_size","value":"14pt"},{"_":"font_family","value":"Times New Roman"}],"text":"(без затрат на оплату труда);","type":"text"}],"type":"paragraph"}],"type":"list_item"},{"attrs":{"listMarks":[{"_":"font_size","value":"14pt"}]},"content":[{"attrs":{"lineHeight":"1","paddingBottom":"","paddingLeft":"28.85pt","paddingTop":"","textAlign":"justify","textMark":[{"_":"font_size","value":"14pt"}]},"content":[{"attrs":{},"marks":[{"_":"font_size","value":"14pt"},{"_":"font_family","value":"Times New Roman"}],"text":"затраты на содержание административных зданий (отопление, освещение, канализация, водоснабжение, вентиляция, и т.д.);","type":"text"}],"type":"paragraph"}],"type":"list_item"},{"attrs":{"listMarks":[{"_":"font_size","value":"14pt"}]},"content":[{"attrs":{"lineHeight":"1","paddingBottom":"","paddingLeft":"28.85pt","paddingTop":"","textAlign":"justify","textMark":[{"_":"font_size","value":"14pt"}]},"content":[{"attrs":{},"marks":[{"_":"font_size","value":"14pt"},{"_":"font_family","value":"Times New Roman"}],"text":"оплата лицензий на право деятельности; затраты на социально-бытовые нужды; командировочные затраты;","type":"text"}],"type":"paragraph"}],"type":"list_item"},{"attrs":{"listMarks":[{"_":"font_size","value":"14pt"}]},"content":[{"attrs":{"lineHeight":"1","paddingBottom":"","paddingLeft":"28.85pt","paddingTop":"","textAlign":"justify","textMark":[{"_":"font_size","value":"14pt"}]},"content":[{"attrs":{},"marks":[{"_":"font_size","value":"14pt"},{"_":"font_family","value":"Times New Roman"}],"text":"представительские расходы; оплата расходов на связь; канцелярские расходы и т.д.","type":"text"}],"type":"paragraph"}],"type":"list_item"}],"type":"bullet_list"},{"attrs":{"lineHeight":"1","paddingBottom":"","paddingLeft":"0pt","paddingTop":"","textAlign":"","textIndent":true,"textMark":[{"_":"font_size","value":"14pt"}]},"content":[{"attrs":{},"marks":[{"_":"font_size","value":"14pt"},{"_":"font_family","value":"Times New Roman"},{"_":"strong"}],"text":"Сбытовые:","type":"text"}],"type":"paragraph"},{"attrs":{},"content":[{"attrs":{"listMarks":[{"_":"font_size","value":"14pt"}]},"content":[{"attrs":{"lineHeight":"1","paddingBottom":"","paddingLeft":"28.85pt","paddingTop":"","textAlign":"justify","textMark":[{"_":"font_size","value":"14pt"}]},"content":[{"attrs":{},"marks":[{"_":"font_size","value":"14pt"},{"_":"font_family","value":"Times New Roman"}],"text":"транспортные затраты (без внутризаводских);","type":"text"}],"type":"paragraph"}],"type":"list_item"},{"attrs":{"listMarks":[{"_":"font_size","value":"14pt"}]},"content":[{"attrs":{"lineHeight":"1","paddingBottom":"","paddingLeft":"28.85pt","paddingTop":"","textAlign":"justify","textMark":[{"_":"font_size","value":"14pt"}]},"content":[{"attrs":{},"marks":[{"_":"font_size","value":"14pt"},{"_":"font_family","value":"Times New Roman"}],"text":"тара и упаковочные материалы (кроме тары, отпускаемой покупателю вместе с готовой продукцией – учитывается в составе прямых материальных затрат);","type":"text"}],"type":"paragraph"}],"type":"list_item"},{"attrs":{"listMarks":[{"_":"font_size","value":"14pt"}]},"content":[{"attrs":{"lineHeight":"1","paddingBottom":"","paddingLeft":"28.85pt","paddingTop":"","textAlign":"justify","textMark":[{"_":"font_size","value":"14pt"}]},"content":[{"attrs":{},"marks":[{"_":"font_size","value":"14pt"},{"_":"font_family","value":"Times New Roman"}],"text":"комиссионные сборы, включая отчисления сбытовым организациям; гарантийный ремонт и обслуживание;","type":"text"}],"type":"paragraph"}],"type":"list_item"},{"attrs":{"listMarks":[{"_":"font_size","value":"14pt"}]},"content":[{"attrs":{"lineHeight":"1","paddingBottom":"","paddingLeft":"28.85pt","paddingTop":"","textAlign":"justify","textMark":[{"_":"font_size","value":"14pt"}]},"content":[{"attrs":{},"marks":[{"_":"font_size","value":"14pt"},{"_":"font_family","value":"Times New Roman"}],"text":"затраты на маркетинг и рекламу.","type":"text"}],"type":"paragraph"},{"attrs":{"order":1},"content":[{"attrs":{"listMarks":[]},"content":[{"attrs":{"order":1},"content":[{"attrs":{"listMarks":[{"_":"font_size","value":"14pt"}]},"content":[{"attrs":{"lineHeight":"1","paddingBottom":"","paddingLeft":"18pt","paddingTop":"","textAlign":"","textMark":[{"_":"font_size","value":"14pt"}]},"content":[{"attrs":{},"marks":[{"_":"font_size","value":"14pt"},{"_":"font_family","value":"Times New Roman"},{"_":"strong"}],"text":"Капитальные затраты и амортизация","type":"text"}],"type":"paragraph"}],"type":"list_item"}],"type":"ordered_list"}],"type":"list_item"}],"type":"ordered_list"}],"type":"list_item"}],"type":"bullet_list"},{"attrs":{"colgroup":[{"width":30},{"width":160},{"width":66},{"width":75},{"width":66},{"width":56},{"width":22},{"width":22},{"width":22},{"width":113}],"synotable":"aaFousMnJr"},"content":[{"attrs":{"height":19},"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1.7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0pt","paddingTop":"","textAlign":"center","textMark":[{"_":"font_size","value":"12pt"}]},"content":[{"attrs":{},"marks":[{"_":"font_size","value":"12pt"},{"_":"font_family","value":"Times New Roman"}],"text":"Наименование статей капитальных затрат","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3.9pt","paddingTop":"","textAlign":"center","textMark":[{"_":"font_size","value":"12pt"}]},"content":[{"attrs":{},"marks":[{"_":"font_size","value":"12pt"},{"_":"font_family","value":"Times New Roman"}],"text":"Норма аморти-зации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0pt","paddingTop":"","textAlign":"center","textMark":[{"_":"font_size","value":"12pt"}]},"content":[{"attrs":{},"marks":[{"_":"font_size","value":"12pt"},{"_":"font_family","value":"Times New Roman"}],"text":"Интервал ввода в","type":"text"}],"type":"paragraph"},{"attrs":{"lineHeight":"1.15","paddingBottom":"","paddingLeft":"0pt","paddingTop":"","textAlign":"center","textMark":[{"_":"font_size","value":"12pt"}]},"content":[{"attrs":{},"marks":[{"_":"font_size","value":"12pt"},{"_":"font_family","value":"Times New Roman"}],"text":"эксплуа-","type":"text"},{"attrs":{},"marks":[{"_":"font_size","value":"12pt"}],"type":"hard_break"},{"attrs":{},"marks":[{"_":"font_size","value":"12pt"},{"_":"font_family","value":"Times New Roman"}],"text":"та цию","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2,"rowspan":2,"verticalAlign":"middle"},"content":[{"attrs":{"lineHeight":"1.15","paddingBottom":"","paddingLeft":"0pt","paddingTop":"","textAlign":"center","textMark":[{"_":"font_size","value":"12pt"}]},"content":[{"attrs":{},"marks":[{"_":"font_size","value":"12pt"},{"_":"font_family","value":"Times New Roman"}],"text":"Общая стоимость затрат (валюта платеж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4,"rowspan":1,"verticalAlign":"middle"},"content":[{"attrs":{"lineHeight":"1.15","paddingBottom":"","paddingLeft":"13.75pt","paddingTop":"","textAlign":"center","textMark":[{"_":"font_size","value":"12pt"}]},"content":[{"attrs":{},"marks":[{"_":"font_size","value":"12pt"},{"_":"font_family","value":"Times New Roman"}],"text":"В т.ч. по интервалам","type":"text"}],"type":"paragraph"},{"attrs":{"lineHeight":"1.15","paddingBottom":"","paddingLeft":"14.35pt","paddingTop":"","textAlign":"center","textMark":[{"_":"font_size","value":"12pt"}]},"content":[{"attrs":{},"marks":[{"_":"font_size","value":"12pt"},{"_":"font_family","value":"Times New Roman"}],"text":"планирования (мес.)","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type":"table_row"},{"attrs":{"height":28},"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attrs":{"lineHeight":"1.15","paddingBottom":"","paddingLeft":"0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attrs":{"lineHeight":"1.15","paddingBottom":"","paddingLeft":"0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attrs":{"lineHeight":"1.15","paddingBottom":"","paddingLeft":"2.65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Roman"}],"text":"Ввод ","type":"text"},{"attrs":{},"marks":[{"_":"font_size","value":"12pt"}],"type":"hard_break"},{"attrs":{},"marks":[{"_":"font_size","value":"12pt"},{"_":"font_family","value":"Times New Roman"}],"text":"в эксплуатацию","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1.7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3,"rowspan":1,"verticalAlign":"middle"},"content":[{"attrs":{"lineHeight":"1.15","paddingBottom":"","paddingLeft":"5.35pt","paddingTop":"","textAlign":"","textMark":[{"_":"font_size","value":"12pt"}]},"content":[{"attrs":{},"marks":[{"_":"font_size","value":"12pt"},{"_":"font_family","value":"Times New Roman"}],"text":"Строительно-монтажные работы","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2,"rowspan":1,"verticalAlign":"middle"},"content":[{"attrs":{"lineHeight":"1.15","paddingBottom":"","paddingLeft":"2.75pt","paddingTop":"","textAlign":"","textMark":[{"_":"font_size","value":"12pt"}]},"content":[{"attrs":{},"marks":[{"_":"font_size","value":"12pt"},{"_":"font_family","value":"Times New Roman"}],"text":"с НДС","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2,"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19},"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1.7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3,"rowspan":1,"verticalAlign":"middle"},"content":[{"attrs":{"lineHeight":"1.15","paddingBottom":"","paddingLeft":"5.35pt","paddingTop":"","textAlign":"","textMark":[{"_":"font_size","value":"12pt"}]},"content":[{"attrs":{},"marks":[{"_":"font_size","value":"12pt"},{"_":"font_family","value":"Times New Roman"}],"text":"Оборудование, машины и механизмы и т.п.","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2.75pt","paddingTop":"","textAlign":"center","textMark":[{"_":"font_size","value":"12pt"}]},"content":[{"attrs":{},"marks":[{"_":"font_size","value":"12pt"},{"_":"font_family","value":"Times New Roman"}],"text":"с НДС и тамож. пошл.","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2.7pt","paddingTop":"","textAlign":"center","textMark":[{"_":"font_size","value":"12pt"}]},"content":[{"attrs":{},"marks":[{"_":"font_size","value":"12pt"},{"_":"font_family","value":"Times New Roman"}],"text":"тамож.","type":"text"}],"type":"paragraph"},{"attrs":{"lineHeight":"1.15","paddingBottom":"","paddingLeft":"2.7pt","paddingTop":"","textAlign":"center","textMark":[{"_":"font_size","value":"12pt"}]},"content":[{"attrs":{},"marks":[{"_":"font_size","value":"12pt"},{"_":"font_family","value":"Times New Roman"}],"text":"пошл.","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1.7pt","paddingTop":"","textAlign":"center","textMark":[{"_":"font_size","value":"12pt"}]},"content":[{"attrs":{},"marks":[{"_":"font_size","value":"12pt"},{"_":"font_family","value":"Times New Roman"}],"text":"3.","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3,"rowspan":1,"verticalAlign":"middle"},"content":[{"attrs":{"lineHeight":"1.15","paddingBottom":"","paddingLeft":"5.35pt","paddingTop":"","textAlign":"","textMark":[{"_":"font_size","value":"12pt"}]},"content":[{"attrs":{},"marks":[{"_":"font_size","value":"12pt"},{"_":"font_family","value":"Times New Roman"}],"text":"Прочие","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2,"rowspan":1,"verticalAlign":"middle"},"content":[{"attrs":{"lineHeight":"1.15","paddingBottom":"","paddingLeft":"2.75pt","paddingTop":"","textAlign":"","textMark":[{"_":"font_size","value":"12pt"}]},"content":[{"attrs":{},"marks":[{"_":"font_size","value":"12pt"},{"_":"font_family","value":"Times New Roman"}],"text":"с НДС","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2,"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12},"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4.","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3,"rowspan":1,"verticalAlign":"middle"},"content":[{"attrs":{"lineHeight":"1.15","paddingBottom":"","paddingLeft":"5.35pt","paddingTop":"","textAlign":"","textMark":[{"_":"font_size","value":"12pt"}]},"content":[{"attrs":{},"marks":[{"_":"font_size","value":"12pt"},{"_":"font_family","value":"Times New Roman"}],"text":"Всего капитальных затрат","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2,"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type":"table"},{"attrs":{"lineHeight":"1","paddingBottom":"","paddingLeft":"0pt","paddingTop":"","textAlign":"justify","textIndent":true,"textMark":[{"_":"font_size","value":"14pt"}]},"content":[{"attrs":{},"marks":[{"_":"font_size","value":"14pt"},{"_":"font_family","value":"Times New Roman"}],"text":"В таблице указываются ","type":"text"},{"attrs":{},"marks":[{"_":"font_size","value":"14pt"},{"_":"font_family","value":"Times New Roman"},{"_":"strong"}],"text":"предстоящие затраты капитального характера","type":"text"},{"attrs":{},"marks":[{"_":"font_size","value":"14pt"},{"_":"font_family","value":"Times New Roman"}],"text":". Стоимость затрат и их распределение по интервалам планирования должны соответствовать условиям платежа в контрактах (договорах), приведенных в Приложениях к бизнес-плану (при наличии данных контактов на момент составления бизнес-плана). Номер интервала ввода в эксплуатацию соответствует интервалу планирования, в котором соответствующий актив ставится на баланс и начинает амортизироваться.","type":"text"}],"type":"paragraph"},{"attrs":{"lineHeight":"1","paddingBottom":"","paddingLeft":"0pt","paddingTop":"","textAlign":"justify","textIndent":true,"textMark":[{"_":"font_size","value":"14pt"}]},"content":[{"attrs":{},"marks":[{"_":"font_size","value":"14pt"},{"_":"font_family","value":"Times New Roman"}],"text":"К прочим капитальным затратам относятся:","type":"text"}],"type":"paragraph"},{"attrs":{},"content":[{"attrs":{"listMarks":[{"_":"font_size","value":"14pt"}]},"content":[{"attrs":{"lineHeight":"1","paddingBottom":"","paddingLeft":"28.85pt","paddingTop":"","textAlign":"justify","textMark":[{"_":"font_size","value":"14pt"}]},"content":[{"attrs":{},"marks":[{"_":"font_size","value":"14pt"},{"_":"font_family","value":"Times New Roman"}],"text":"проектно-изыскательские работы;","type":"text"}],"type":"paragraph"}],"type":"list_item"},{"attrs":{"listMarks":[{"_":"font_size","value":"14pt"}]},"content":[{"attrs":{"lineHeight":"1","paddingBottom":"","paddingLeft":"28.85pt","paddingTop":"","textAlign":"justify","textMark":[{"_":"font_size","value":"14pt"}]},"content":[{"attrs":{},"marks":[{"_":"font_size","value":"14pt"},{"_":"font_family","value":"Times New Roman"}],"text":"услуги по оценке имущества, разработке/экспертизе бизнес-плана, строительному аудиту/техническому надзору;","type":"text"}],"type":"paragraph"}],"type":"list_item"},{"attrs":{"listMarks":[{"_":"font_size","value":"14pt"}]},"content":[{"attrs":{"lineHeight":"1","paddingBottom":"","paddingLeft":"28.85pt","paddingTop":"","textAlign":"justify","textMark":[{"_":"font_size","value":"14pt"}]},"content":[{"attrs":{},"marks":[{"_":"font_size","value":"14pt"},{"_":"font_family","value":"Times New Roman"}],"text":"приобретение земельных участков и объектов природопользования;","type":"text"}],"type":"paragraph"}],"type":"list_item"},{"attrs":{"listMarks":[{"_":"font_size","value":"14pt"}]},"content":[{"attrs":{"lineHeight":"1","paddingBottom":"","paddingLeft":"28.85pt","paddingTop":"","textAlign":"justify","textMark":[{"_":"font_size","value":"14pt"}]},"content":[{"attrs":{},"marks":[{"_":"font_size","value":"14pt"},{"_":"font_family","value":"Times New Roman"}],"text":"приобретение зданий, сооружений, объектов транспортного хозяйства;","type":"text"}],"type":"paragraph"}],"type":"list_item"},{"attrs":{"listMarks":[{"_":"font_size","value":"14pt"}]},"content":[{"attrs":{"lineHeight":"1","paddingBottom":"","paddingLeft":"28.85pt","paddingTop":"","textAlign":"justify","textMark":[{"_":"font_size","value":"14pt"}]},"content":[{"attrs":{},"marks":[{"_":"font_size","value":"14pt"},{"_":"font_family","value":"Times New Roman"}],"text":"приобретение нематериальных активов;","type":"text"}],"type":"paragraph"}],"type":"list_item"},{"attrs":{"listMarks":[{"_":"font_size","value":"14pt"}]},"content":[{"attrs":{"lineHeight":"1","paddingBottom":"","paddingLeft":"28.85pt","paddingTop":"","textAlign":"justify","textMark":[{"_":"font_size","value":"14pt"}]},"content":[{"attrs":{},"marks":[{"_":"font_size","value":"14pt"},{"_":"font_family","value":"Times New Roman"}],"text":"и т.п.","type":"text"}],"type":"paragraph"}],"type":"list_item"}],"type":"bullet_list"},{"attrs":{"lineHeight":"1","paddingBottom":"","paddingLeft":"0pt","paddingTop":"","textAlign":"justify","textIndent":true,"textMark":[{"_":"font_size","value":"14pt"}]},"content":[{"attrs":{},"marks":[{"_":"font_size","value":"14pt"},{"_":"font_family","value":"Times New Roman"},{"_":"strong"}],"text":"При наличии осуществленных капитальных вложений ","type":"text"},{"attrs":{},"marks":[{"_":"font_size","value":"14pt"}],"type":"hard_break"},{"attrs":{},"marks":[{"_":"font_size","value":"14pt"},{"_":"font_family","value":"Times New Roman"}],"text":"и необходимости учета их амортизации в расчетах по проекту, они описываются в отдельной аналогичной таблице (без расшифровки ","type":"text"},{"attrs":{},"marks":[{"_":"font_size","value":"14pt"}],"type":"hard_break"},{"attrs":{},"marks":[{"_":"font_size","value":"14pt"},{"_":"font_family","value":"Times New Roman"}],"text":"по интервалам).","type":"text"}],"type":"paragraph"},{"attrs":{"lineHeight":"1","paddingBottom":"","paddingLeft":"0pt","paddingTop":"","textAlign":"justify","textIndent":true,"textMark":[{"_":"font_size","value":"14pt"}]},"content":[{"attrs":{},"marks":[{"_":"font_size","value":"14pt"},{"_":"font_family","value":"Times New Roman"}],"text":"Необходимо подтверждение сумм, осуществленных и предстоящих капитальных вложений путем проведения строительного аудита (осуществляет независимая надзорная компания).","type":"text"}],"type":"paragraph"},{"attrs":{"order":1},"content":[{"attrs":{"listMarks":[]},"content":[{"attrs":{"order":1},"content":[{"attrs":{"listMarks":[]},"content":[{"attrs":{"order":1},"content":[{"attrs":{"listMarks":[{"_":"font_size","value":"14pt"}]},"content":[{"attrs":{"lineHeight":"1","paddingBottom":"","paddingLeft":"18pt","paddingTop":"","textAlign":"justify","textMark":[{"_":"font_size","value":"14pt"}]},"content":[{"attrs":{},"marks":[{"_":"font_size","value":"14pt"},{"_":"font_family","value":"Times New Roman"},{"_":"strong"}],"text":"Обоснование потребности в оборотном капитале ","type":"text"},{"attrs":{},"marks":[{"_":"font_size","value":"14pt"},{"_":"font_family","value":"Times New Roman"}],"text":"(указываются исходя из потребностей предприятия при работе на полную (проектную) мощность).","type":"text"}],"type":"paragraph"}],"type":"list_item"}],"type":"ordered_list"}],"type":"list_item"}],"type":"ordered_list"}],"type":"list_item"}],"type":"ordered_list"},{"attrs":{"colgroup":[{"width":28},{"width":113},{"width":85},{"width":66},{"width":75},{"width":66},{"width":75},{"width":75},{"width":66}],"synotable":"rJkajeIv6r"},"content":[{"attrs":{"height":1},"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1.7pt","paddingTop":"","textAlign":"center","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3.25pt","paddingTop":"","textAlign":"center","textMark":[{"_":"font_size","value":"12pt"}]},"content":[{"attrs":{},"marks":[{"_":"font_size","value":"12pt"},{"_":"font_family","value":"Times New Roman"}],"text":"Наименование нормируемых","type":"text"}],"type":"paragraph"},{"attrs":{"lineHeight":"1.15","paddingBottom":"","paddingLeft":"3.25pt","paddingTop":"","textAlign":"center","textMark":[{"_":"font_size","value":"12pt"}]},"content":[{"attrs":{},"marks":[{"_":"font_size","value":"12pt"},{"_":"font_family","value":"Times New Roman"}],"text":"текущих активов ","type":"text"},{"attrs":{},"marks":[{"_":"font_size","value":"12pt"}],"type":"hard_break"},{"attrs":{},"marks":[{"_":"font_size","value":"12pt"},{"_":"font_family","value":"Times New Roman"}],"text":"и пассивов","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2,"rowspan":1,"verticalAlign":"middle"},"content":[{"attrs":{"lineHeight":"1.15","paddingBottom":"","paddingLeft":"0pt","paddingTop":"","textAlign":"center","textMark":[{"_":"font_size","value":"12pt"}]},"content":[{"attrs":{},"marks":[{"_":"font_size","value":"12pt"},{"_":"font_family","value":"Times New Roman"}],"text":"Формирование ","type":"text"},{"attrs":{},"marks":[{"_":"font_size","value":"12pt"}],"type":"hard_break"},{"attrs":{},"marks":[{"_":"font_size","value":"12pt"},{"_":"font_family","value":"Times New Roman"}],"text":"запасов и резервов","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4,"rowspan":1,"verticalAlign":"middle"},"content":[{"attrs":{"lineHeight":"1.15","paddingBottom":"","paddingLeft":"0pt","paddingTop":"","textAlign":"center","textMark":[{"_":"font_size","value":"12pt"}]},"content":[{"attrs":{},"marks":[{"_":"font_size","value":"12pt"},{"_":"font_family","value":"Times New Roman"}],"text":"Договорные условия ","type":"text"},{"attrs":{},"marks":[{"_":"font_size","value":"12pt"}],"type":"hard_break"},{"attrs":{},"marks":[{"_":"font_size","value":"12pt"},{"_":"font_family","value":"Times New Roman"}],"text":"поставок и оплаты","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1.5pt","paddingTop":"","textAlign":"center","textMark":[{"_":"font_size","value":"12pt"}]},"content":[{"attrs":{},"marks":[{"_":"font_size","value":"12pt"},{"_":"font_family","value":"Times New Roman"}],"text":"Незавер- шенное произ-","type":"text"}],"type":"paragraph"},{"attrs":{"lineHeight":"1.15","paddingBottom":"","paddingLeft":"1.5pt","paddingTop":"","textAlign":"center","textMark":[{"_":"font_size","value":"12pt"}]},"content":[{"attrs":{},"marks":[{"_":"font_size","value":"12pt"},{"_":"font_family","value":"Times New Roman"}],"text":"водство","type":"text"}],"type":"paragraph"}],"type":"table_cell"}],"type":"table_row"},{"attrs":{"height":1},"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1.7pt","paddingTop":"","textAlign":"center","textMark":[{"_":"font_size","value":"12pt"}]},"content":[{"attrs":{},"marks":[{"_":"font_size","value":"12pt"},{"_":"font_family","value":"Times New Roman"}],"text":"1.","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3.25pt","paddingTop":"","textAlign":"","textMark":[{"_":"font_size","value":"12pt"}]},"content":[{"attrs":{},"marks":[{"_":"font_size","value":"12pt"},{"_":"font_family","value":"Times New Roman"}],"text":"Готовая продукция","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2.8pt","paddingTop":"","textAlign":"center","textMark":[{"_":"font_size","value":"12pt"}]},"content":[{"attrs":{},"marks":[{"_":"font_size","value":"12pt"},{"_":"font_family","value":"Times New Roman"}],"text":"Страховой запас (дн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2.8pt","paddingTop":"","textAlign":"center","textMark":[{"_":"font_size","value":"12pt"}]},"content":[{"attrs":{},"marks":[{"_":"font_size","value":"12pt"},{"_":"font_family","value":"Times New Roman"}],"text":"Период оборота (дн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Roman"}],"text":"Доля авансово-го платежа ","type":"text"},{"attrs":{},"marks":[{"_":"font_size","value":"12pt"}],"type":"hard_break"},{"attrs":{},"marks":[{"_":"font_size","value":"12pt"},{"_":"font_family","value":"Times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Roman"}],"text":"Срок поставки (дн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2.9pt","paddingTop":"","textAlign":"center","textMark":[{"_":"font_size","value":"12pt"}]},"content":[{"attrs":{},"marks":[{"_":"font_size","value":"12pt"},{"_":"font_family","value":"Times New Roman"}],"text":"Доля отсрочен-ного пла-","type":"text"}],"type":"paragraph"},{"attrs":{"lineHeight":"1.15","paddingBottom":"","paddingLeft":"2.9pt","paddingTop":"","textAlign":"center","textMark":[{"_":"font_size","value":"12pt"}]},"content":[{"attrs":{},"marks":[{"_":"font_size","value":"12pt"},{"_":"font_family","value":"Times New Roman"}],"text":"тежа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2.95pt","paddingTop":"","textAlign":"center","textMark":[{"_":"font_size","value":"12pt"}]},"content":[{"attrs":{},"marks":[{"_":"font_size","value":"12pt"},{"_":"font_family","value":"Times New Roman"}],"text":"Срок отсрочки платежа","type":"text"}],"type":"paragraph"},{"attrs":{"lineHeight":"1.15","paddingBottom":"","paddingLeft":"2.95pt","paddingTop":"","textAlign":"center","textMark":[{"_":"font_size","value":"12pt"}]},"content":[{"attrs":{},"marks":[{"_":"font_size","value":"12pt"},{"_":"font_family","value":"Times New Roman"}],"text":"(дн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2.95pt","paddingTop":"","textAlign":"center","textMark":[{"_":"font_size","value":"12pt"}]},"content":[{"attrs":{},"marks":[{"_":"font_size","value":"12pt"},{"_":"font_family","value":"Times New Roman"}],"text":"Цикл произ-водства (дни)","type":"text"}],"type":"paragraph"}],"type":"table_cell"}],"type":"table_row"},{"attrs":{"height":1},"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type":"table_row"},{"attrs":{"height":1},"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1.7pt","paddingTop":"","textAlign":"center","textMark":[{"_":"font_size","value":"12pt"}]},"content":[{"attrs":{},"marks":[{"_":"font_size","value":"12pt"},{"_":"font_family","value":"Times New Roman"}],"text":"2.","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Roman"}],"text":"Прямые материальные затраты","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2.8pt","paddingTop":"","textAlign":"center","textMark":[{"_":"font_size","value":"12pt"}]},"content":[{"attrs":{},"marks":[{"_":"font_size","value":"12pt"},{"_":"font_family","value":"Times New Roman"}],"text":"Страховой запас (дн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2.8pt","paddingTop":"","textAlign":"center","textMark":[{"_":"font_size","value":"12pt"}]},"content":[{"attrs":{},"marks":[{"_":"font_size","value":"12pt"},{"_":"font_family","value":"Times New Roman"}],"text":"Период оборота (дн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Roman"}],"text":"Доля авансово-го платежа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0pt","paddingTop":"","textAlign":"center","textMark":[{"_":"font_size","value":"12pt"}]},"content":[{"attrs":{},"marks":[{"_":"font_size","value":"12pt"},{"_":"font_family","value":"Times New Roman"}],"text":"Срок поставки (дн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2.9pt","paddingTop":"","textAlign":"center","textMark":[{"_":"font_size","value":"12pt"}]},"content":[{"attrs":{},"marks":[{"_":"font_size","value":"12pt"},{"_":"font_family","value":"Times New Roman"}],"text":"Доля отсрочен- ного пла-","type":"text"}],"type":"paragraph"},{"attrs":{"lineHeight":"1.15","paddingBottom":"","paddingLeft":"2.9pt","paddingTop":"","textAlign":"center","textMark":[{"_":"font_size","value":"12pt"}]},"content":[{"attrs":{},"marks":[{"_":"font_size","value":"12pt"},{"_":"font_family","value":"Times New Roman"}],"text":"тежа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2.85pt","paddingTop":"","textAlign":"center","textMark":[{"_":"font_size","value":"12pt"}]},"content":[{"attrs":{},"marks":[{"_":"font_size","value":"12pt"},{"_":"font_family","value":"Times New Roman"}],"text":"Срок отсрочки платежа","type":"text"}],"type":"paragraph"},{"attrs":{"lineHeight":"1.15","paddingBottom":"","paddingLeft":"2.85pt","paddingTop":"","textAlign":"center","textMark":[{"_":"font_size","value":"12pt"}]},"content":[{"attrs":{},"marks":[{"_":"font_size","value":"12pt"},{"_":"font_family","value":"Times New Roman"}],"text":"(дни)","type":"text"}],"type":"paragraph"}],"type":"table_cell"},{"attrs":{"borderBottomColor":"#000000","borderBottomStyle":"solid","borderBottomWidth":0,"borderLeftColor":"#000000","borderLeftStyle":"solid","borderLeftWidth":1,"borderRightColor":"#000000","borderRightStyle":"solid","borderRightWidth":0,"borderTopColor":"#000000","borderTopStyle":"solid","borderTopWidth":1,"colspan":1,"rowspan":2,"verticalAlign":"middle"},"content":[{"attrs":{"lineHeight":"","paddingBottom":"","paddingLeft":"","paddingTop":"","textAlign":"","textMark":[{"_":"font_size","value":"12pt"}]},"content":[{"attrs":{},"marks":[{"_":"font_size","value":"12pt"}],"text":" ","type":"text"}],"type":"paragraph"}],"type":"table_cell"}],"type":"table_row"},{"attrs":{"height":1},"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5.35pt","paddingTop":"","textAlign":"","textMark":[{"_":"font_size","value":"12pt"}]},"content":[{"attrs":{},"marks":[{"_":"font_size","value":"12pt"},{"_":"font_family","value":"Times New Roman"}],"text":"…","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_":"font_size","value":"12pt"}]},"content":[{"attrs":{},"marks":[{"_":"font_size","value":"12pt"}],"text":" ","type":"text"}],"type":"paragraph"}],"type":"table_cell"},{"attrs":{"borderBottomColor":"#000000","borderBottomStyle":"solid","borderBottomWidth":0,"borderLeftColor":"#000000","borderLeftStyle":"solid","borderLeftWidth":1,"borderRightColor":"#000000","borderRightStyle":"solid","borderRightWidth":0,"borderTopColor":"#000000","borderTopStyle":"solid","borderTopWidth":1,"colspan":1,"rowspan":1,"verticalAlign":"middle"},"content":[{"attrs":{"lineHeight":"","paddingBottom":"","paddingLeft":"","paddingTop":"","textAlign":"","textMark":[]},"type":"paragraph"}],"type":"table_cell"}],"type":"table_row"},{"attrs":{"height":1},"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1.7pt","paddingTop":"","textAlign":"center","textMark":[{"_":"font_size","value":"12pt"}]},"content":[{"attrs":{},"marks":[{"_":"font_size","value":"12pt"},{"_":"font_family","value":"Times New Roman"}],"text":"3.","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5.35pt","paddingTop":"","textAlign":"","textMark":[{"_":"font_size","value":"12pt"}]},"content":[{"attrs":{},"marks":[{"_":"font_size","value":"12pt"},{"_":"font_family","value":"Times New Roman"}],"text":"Накладные  расходы","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2,"rowspan":1,"verticalAlign":"middle"},"content":[{"attrs":{"lineHeight":"1.15","paddingBottom":"","paddingLeft":"2.8pt","paddingTop":"","textAlign":"center","textMark":[{"_":"font_size","value":"12pt"}]},"content":[{"attrs":{},"marks":[{"_":"font_size","value":"12pt"},{"_":"font_family","value":"Times New Roman"}],"text":"Резерв денежных средств (дн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5,"rowspan":4,"verticalAlign":"middle"},"content":[{"attrs":{"lineHeight":"","paddingBottom":"","paddingLeft":"","paddingTop":"","textAlign":"","textMark":[{"_":"font_size","value":"12pt"}]},"content":[{"attrs":{},"marks":[{"_":"font_size","value":"12pt"}],"text":" ","type":"text"}],"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type":"table_row"},{"attrs":{"height":1},"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2,"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type":"table_row"},{"attrs":{"height":1},"content":[{"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1.7pt","paddingTop":"","textAlign":"center","textMark":[{"_":"font_size","value":"12pt"}]},"content":[{"attrs":{},"marks":[{"_":"font_size","value":"12pt"},{"_":"font_family","value":"Times New Roman"}],"text":"4.","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2,"verticalAlign":"middle"},"content":[{"attrs":{"lineHeight":"1.15","paddingBottom":"","paddingLeft":"5.35pt","paddingTop":"","textAlign":"","textMark":[{"_":"font_size","value":"12pt"}]},"content":[{"attrs":{},"marks":[{"_":"font_size","value":"12pt"},{"_":"font_family","value":"Times New Roman"}],"text":"Заработная плат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2,"rowspan":1,"verticalAlign":"middle"},"content":[{"attrs":{"lineHeight":"1.15","paddingBottom":"","paddingLeft":"2.8pt","paddingTop":"","textAlign":"center","textMark":[{"_":"font_size","value":"12pt"}]},"content":[{"attrs":{},"marks":[{"_":"font_size","value":"12pt"},{"_":"font_family","value":"Times New Roman"}],"text":"Период выплаты","type":"text"}],"type":"paragraph"},{"attrs":{"lineHeight":"1.15","paddingBottom":"","paddingLeft":"2.8pt","paddingTop":"","textAlign":"center","textMark":[{"_":"font_size","value":"12pt"}]},"content":[{"attrs":{},"marks":[{"_":"font_size","value":"12pt"},{"_":"font_family","value":"Times New Roman"}],"text":"(раз/мес.)","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type":"table_row"},{"attrs":{"height":1},"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1,"borderLeftColor":"#000000","borderLeftStyle":"solid","borderLeftWidth":1,"borderRightColor":"#000000","borderRightStyle":"solid","borderRightWidth":1,"borderTopColor":"#000000","borderTopStyle":"solid","borderTopWidth":1,"colspan":2,"rowspan":1,"verticalAlign":"middle"},"content":[{"attrs":{"lineHeight":"","paddingBottom":"","paddingLeft":"","paddingTop":"","textAlign":"","textMark":[{"_":"font_size","value":"12pt"}]},"content":[{"attrs":{},"marks":[{"_":"font_size","value":"12pt"}],"text":" ","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attrs":{"borderBottomColor":"#000000","borderBottomStyle":"solid","borderBottomWidth":0,"borderLeftColor":"#000000","borderLeftStyle":"solid","borderLeftWidth":1,"borderRightColor":"#000000","borderRightStyle":"solid","borderRightWidth":0,"borderTopColor":"#000000","borderTopStyle":"solid","borderTopWidth":0,"colspan":1,"rowspan":1,"verticalAlign":"middle"},"content":[{"attrs":{"lineHeight":"","paddingBottom":"","paddingLeft":"","paddingTop":"","textAlign":"","textMark":[]},"type":"paragraph"}],"type":"table_cell"}],"type":"table_row"}],"type":"table"},{"attrs":{"lineHeight":"1","paddingBottom":"","paddingLeft":"0pt","paddingTop":"","textAlign":"justify","textIndent":true,"textMark":[{"_":"font_size","value":"14pt"}]},"content":[{"attrs":{},"marks":[{"_":"font_size","value":"14pt"},{"_":"font_family","value":"Times New Roman"}],"text":"Показатели проекта, объединенные в данной таблице, используются ","type":"text"},{"attrs":{},"marks":[{"_":"font_size","value":"14pt"}],"type":"hard_break"},{"attrs":{},"marks":[{"_":"font_size","value":"14pt"},{"_":"font_family","value":"Times New Roman"}],"text":"для построения платежного цикла проекта, включающего в себя этапы закупок, транспортировки, хранения, производства и продаж, а также оценки на его основе потребности проекта в оборотных средствах.","type":"text"}],"type":"paragraph"},{"attrs":{"lineHeight":"1","paddingBottom":"","paddingLeft":"0pt","paddingTop":"","textAlign":"justify","textIndent":true,"textMark":[{"_":"font_size","value":"14pt"}]},"content":[{"attrs":{},"marks":[{"_":"font_size","value":"14pt"},{"_":"font_family","value":"Times New Roman"},{"_":"strong"}],"text":"Готовая продукция ","type":"text"},{"attrs":{},"marks":[{"_":"font_size","value":"14pt"},{"_":"font_family","value":"Times New Roman"}],"text":"(с детализацией по видам выпускаемой продукции)","type":"text"},{"attrs":{},"marks":[{"_":"font_size","value":"14pt"},{"_":"font_family","value":"Times New Roman"},{"_":"strong"}],"text":":","type":"text"}],"type":"paragraph"},{"attrs":{},"content":[{"attrs":{"listMarks":[{"_":"font_size","value":"14pt"}]},"content":[{"attrs":{"lineHeight":"1","paddingBottom":"","paddingLeft":"28.85pt","paddingTop":"","textAlign":"justify","textMark":[{"_":"font_size","value":"14pt"}]},"content":[{"attrs":{},"marks":[{"_":"font_size","value":"14pt"},{"_":"font_family","value":"Times New Roman"}],"text":"период оборота (дни)- средний период отгрузки покупателям месячного объема производства со склада предприятия;","type":"text"}],"type":"paragraph"}],"type":"list_item"},{"attrs":{"listMarks":[{"_":"font_size","value":"14pt"}]},"content":[{"attrs":{"lineHeight":"1","paddingBottom":"","paddingLeft":"28.85pt","paddingTop":"","textAlign":"justify","textMark":[{"_":"font_size","value":"14pt"}]},"content":[{"attrs":{},"marks":[{"_":"font_size","value":"14pt"},{"_":"font_family","value":"Times New Roman"}],"text":"срок поставки (дни) - средний срок поставки покупателям готовой продукции после получения аванса (предоплаты);","type":"text"}],"type":"paragraph"}],"type":"list_item"},{"attrs":{"listMarks":[{"_":"font_size","value":"14pt"}]},"content":[{"attrs":{"lineHeight":"1","paddingBottom":"","paddingLeft":"28.85pt","paddingTop":"","textAlign":"justify","textMark":[{"_":"font_size","value":"14pt"}]},"content":[{"attrs":{},"marks":[{"_":"font_size","value":"14pt"},{"_":"font_family","value":"Times New Roman"}],"text":"срок отсрочки платежа (дни) - средний срок отсрочки платежа ","type":"text"},{"attrs":{},"marks":[{"_":"font_size","value":"14pt"}],"type":"hard_break"},{"attrs":{},"marks":[{"_":"font_size","value":"14pt"},{"_":"font_family","value":"Times New Roman"}],"text":"(до факта поставки или позже), предоставленный покупателям за поставленную готовую продукцию;","type":"text"}],"type":"paragraph"}],"type":"list_item"},{"attrs":{"listMarks":[{"_":"font_size","value":"14pt"}]},"content":[{"attrs":{"lineHeight":"1","paddingBottom":"","paddingLeft":"28.85pt","paddingTop":"","textAlign":"justify","textMark":[{"_":"font_size","value":"14pt"}]},"content":[{"attrs":{},"marks":[{"_":"font_size","value":"14pt"},{"_":"font_family","value":"Times New Roman"}],"text":"цикл производства (дни) - средняя продолжительность цикла производства (незавершенное производство).","type":"text"}],"type":"paragraph"}],"type":"list_item"}],"type":"bullet_list"},{"attrs":{"lineHeight":"1","paddingBottom":"","paddingLeft":"0pt","paddingTop":"","textAlign":"justify","textIndent":true,"textMark":[{"_":"font_size","value":"14pt"}]},"content":[{"attrs":{},"marks":[{"_":"font_size","value":"14pt"},{"_":"font_family","value":"Times New Roman"},{"_":"strong"}],"text":"Прямые материальные затраты ","type":"text"},{"attrs":{},"marks":[{"_":"font_size","value":"14pt"},{"_":"font_family","value":"Times New Roman"}],"text":"(с детализацией по основным статьям прямых материальных затрат)","type":"text"},{"attrs":{},"marks":[{"_":"font_size","value":"14pt"},{"_":"font_family","value":"Times New Roman"},{"_":"strong"}],"text":":","type":"text"}],"type":"paragraph"},{"attrs":{},"content":[{"attrs":{"listMarks":[{"_":"font_size","value":"14pt"}]},"content":[{"attrs":{"lineHeight":"1","paddingBottom":"","paddingLeft":"36pt","paddingTop":"","textAlign":"justify","textMark":[{"_":"font_size","value":"14pt"}]},"content":[{"attrs":{},"marks":[{"_":"font_size","value":"14pt"},{"_":"font_family","value":"Times New Roman"}],"text":"период оборота (дни) – средний период закупки у поставщиков сырья, материалов и пр.; ","type":"text"}],"type":"paragraph"}],"type":"list_item"},{"attrs":{"listMarks":[{"_":"font_size","value":"14pt"}]},"content":[{"attrs":{"lineHeight":"1","paddingBottom":"","paddingLeft":"36pt","paddingTop":"","textAlign":"justify","textMark":[{"_":"font_size","value":"14pt"}]},"content":[{"attrs":{},"marks":[{"_":"font_size","value":"14pt"},{"_":"font_family","value":"Times New Roman"}],"text":"срок поставки (дни) – средний срок получения от поставщиков сырья, материалов и пр. после оплаты аванса (предоплаты);","type":"text"}],"type":"paragraph"}],"type":"list_item"},{"attrs":{"listMarks":[{"_":"font_size","value":"14pt"}]},"content":[{"attrs":{"lineHeight":"1","paddingBottom":"","paddingLeft":"36pt","paddingTop":"","textAlign":"justify","textMark":[{"_":"font_size","value":"14pt"}]},"content":[{"attrs":{},"marks":[{"_":"font_size","value":"14pt"},{"_":"font_family","value":"Times New Roman"}],"text":"срок отсрочки платежа (дни) – средний срок отсрочки платежа, предоставленный поставщиками за поставленное сырье, материалы и пр.","type":"text"}],"type":"paragraph"}],"type":"list_item"}],"type":"bullet_list"},{"attrs":{"lineHeight":"1","paddingBottom":"","paddingLeft":"0pt","paddingTop":"","textAlign":"justify","textIndent":true,"textMark":[{"_":"font_size","value":"14pt"}]},"content":[{"attrs":{},"marks":[{"_":"font_size","value":"14pt"},{"_":"font_family","value":"Times New Roman"},{"_":"strong"}],"text":"Заработная плата:","type":"text"}],"type":"paragraph"},{"attrs":{},"content":[{"attrs":{"listMarks":[{"_":"font_size","value":"14pt"}]},"content":[{"attrs":{"lineHeight":"1","paddingBottom":"","paddingLeft":"31.6pt","paddingTop":"","textAlign":"","textMark":[{"_":"font_size","value":"14pt"}]},"content":[{"attrs":{},"marks":[{"_":"font_size","value":"14pt"},{"_":"font_family","value":"Times New Roman"}],"text":"задолженность по оплате труда ","type":"text"},{"attrs":{},"marks":[{"_":"font_size","value":"14pt"},{"_":"font_family","value":"Times New Roman"},{"_":"strong"}],"text":"- ","type":"text"},{"attrs":{},"marks":[{"_":"font_size","value":"14pt"},{"_":"font_family","value":"Times New Roman"}],"text":"период выплаты заработной платы (один или два раза в месяц).","type":"text"}],"type":"paragraph"}],"type":"list_item"}],"type":"bullet_list"},{"attrs":{"lineHeight":"1","paddingBottom":"","paddingLeft":"0pt","paddingTop":"","textAlign":"justify","textIndent":true,"textMark":[{"_":"font_size","value":"14pt"}]},"content":[{"attrs":{},"marks":[{"_":"font_size","value":"14pt"},{"_":"font_family","value":"Times New Roman"}],"text":"Статьи текущих активов и пассивов, не нашедшие отражения выше, ","type":"text"},{"attrs":{},"marks":[{"_":"font_size","value":"14pt"}],"type":"hard_break"},{"attrs":{},"marks":[{"_":"font_size","value":"14pt"},{"_":"font_family","value":"Times New Roman"}],"text":"при необходимости описываются дополнительно к данной таблице.","type":"text"}],"type":"paragraph"},{"attrs":{"lineHeight":"1","paddingBottom":"","paddingLeft":"0pt","paddingTop":"","textAlign":"justify","textIndent":true,"textMark":[{"_":"font_size","value":"14pt"}]},"content":[{"attrs":{},"marks":[{"_":"font_size","value":"14pt"},{"_":"font_family","value":"Times New Roman"}],"text":"Условия поставок и оплаты должны соответствовать условиям договоров на закупку сырья, материалов и пр., а также поставку готовой продукции, приведенных в Приложении к бизнес- плану (при наличии данных договоров ","type":"text"},{"attrs":{},"marks":[{"_":"font_size","value":"14pt"}],"type":"hard_break"},{"attrs":{},"marks":[{"_":"font_size","value":"14pt"},{"_":"font_family","value":"Times New Roman"}],"text":"на момент составления бизнес-плана).","type":"text"}],"type":"paragraph"},{"attrs":{"lineHeight":"1","paddingBottom":"","paddingLeft":"0pt","paddingTop":"","textAlign":"justify","textIndent":true,"textMark":[{"_":"font_size","value":"14pt"}]},"content":[{"attrs":{},"marks":[{"_":"font_size","value":"14pt"},{"_":"font_family","value":"Times New Roman"},{"_":"strong"}],"text":"Оценка потребности проекта в оборотных средствах ","type":"text"},{"attrs":{},"marks":[{"_":"font_size","value":"14pt"},{"_":"font_family","value":"Times New Roman"}],"text":"(чистого оборотного или рабочего капитала), как правило, осуществляется на основе норм оборота (обычно в днях) основных статей текущих активов и пассивов, исходя из потребностей предприятия при работе на полную (проектную) мощность (пункт 10.2.9).","type":"text"}],"type":"paragraph"},{"attrs":{"lineHeight":"1","paddingBottom":"","paddingLeft":"0pt","paddingTop":"","textAlign":"justify","textIndent":true,"textMark":[{"_":"font_size","value":"14pt"}]},"content":[{"attrs":{},"marks":[{"_":"font_size","value":"14pt"},{"_":"font_family","value":"Times New Roman"}],"text":"При этом необходимо запланировать наличие соответствующих средств на оплату сырья, материалов и комплектующих в интервалах планирования, предшествующих периоду их использования (с учетом объемов запасов, производства и условий оплаты), а поступление средств за готовую продукцию – в последующих интервалах планирования (с учетом длительности производственного цикла, объема запасов и условий оплаты готовой продукции). Кроме того, необходимо учитывать влияние на потребность ","type":"text"},{"attrs":{},"marks":[{"_":"font_size","value":"14pt"}],"type":"hard_break"},{"attrs":{},"marks":[{"_":"font_size","value":"14pt"},{"_":"font_family","value":"Times New Roman"}],"text":"в оборотных средствах периодичности начисления и уплаты налогов (пункт 10.2.1.).","type":"text"}],"type":"paragraph"},{"attrs":{"lineHeight":"1","paddingBottom":"","paddingLeft":"0pt","paddingTop":"","textAlign":"justify","textIndent":true,"textMark":[{"_":"font_size","value":"14pt"}]},"content":[{"attrs":{},"marks":[{"_":"font_size","value":"14pt"},{"_":"font_family","value":"Times New Roman"},{"_":"strong"}],"text":"10.3. Расчет прибылей","type":"text"},{"attrs":{},"marks":[{"_":"font_size","value":"14pt"},{"_":"font_family","value":"Times New Roman"}],"text":", ","type":"text"},{"attrs":{},"marks":[{"_":"font_size","value":"14pt"},{"_":"font_family","value":"Times New Roman"},{"_":"strong"}],"text":"убытков и денежных потоков","type":"text"}],"type":"paragraph"},{"attrs":{"lineHeight":"1","paddingBottom":"","paddingLeft":"0pt","paddingTop":"","textAlign":"justify","textIndent":true,"textMark":[{"_":"font_size","value":"14pt"}]},"content":[{"attrs":{},"marks":[{"_":"font_size","value":"14pt"},{"_":"font_family","value":"Times New Roman"}],"text":"Проводится для каждого интервала планирования по методике, упомянутой в пункте 8.1.","type":"text"}],"type":"paragraph"},{"attrs":{"lineHeight":"1","paddingBottom":"","paddingLeft":"0pt","paddingTop":"","textAlign":"justify","textIndent":true,"textMark":[{"_":"font_size","value":"14pt"}]},"content":[{"attrs":{},"marks":[{"_":"font_size","value":"14pt"},{"_":"font_family","value":"Times New Roman"},{"_":"strong"}],"text":"Отчет о прибылях и убытках.","type":"text"}],"type":"paragraph"},{"attrs":{"lineHeight":"1","paddingBottom":"","paddingLeft":"0pt","paddingTop":"","textAlign":"justify","textIndent":true,"textMark":[{"_":"font_size","value":"14pt"}]},"content":[{"attrs":{},"marks":[{"_":"font_size","value":"14pt"},{"_":"font_family","value":"Times New Roman"}],"text":"Представляет собой самую привычную форму финансовой оценки ","type":"text"},{"attrs":{},"marks":[{"_":"font_size","value":"14pt"}],"type":"hard_break"},{"attrs":{},"marks":[{"_":"font_size","value":"14pt"},{"_":"font_family","value":"Times New Roman"}],"text":"(форма № 2 бухгалтерской отчетности предприятия). Назначение этой формы – анализ на каждом интервале планирования соотношения доходов предприятия (проекта), относимых в соответствии с учетной политикой предприятия ","type":"text"},{"attrs":{},"marks":[{"_":"font_size","value":"14pt"}],"type":"hard_break"},{"attrs":{},"marks":[{"_":"font_size","value":"14pt"},{"_":"font_family","value":"Times New Roman"}],"text":"к данному периоду, со связанными с ними расходами, а также налоговыми выплатами и дивидендами.","type":"text"}],"type":"paragraph"},{"attrs":{"lineHeight":"1","paddingBottom":"","paddingLeft":"0pt","paddingTop":"","textAlign":"justify","textIndent":true,"textMark":[{"_":"font_size","value":"14pt"}]},"content":[{"attrs":{},"marks":[{"_":"font_size","value":"14pt"},{"_":"font_family","value":"Times New Roman"}],"text":"Отчет о прибылях и убытках необходим для оценки эффективности текущей (хозяйственной) деятельности. Его анализ позволяет также оценить размер чистой прибыли, являющейся наряду с амортизацией одним ","type":"text"},{"attrs":{},"marks":[{"_":"font_size","value":"14pt"}],"type":"hard_break"},{"attrs":{},"marks":[{"_":"font_size","value":"14pt"},{"_":"font_family","value":"Times New Roman"}],"text":"из основных источников денежных средств, для возврата займов, привлеченных на финансирование инвестиционных издержек проекта. Однако наличие и размер чистой прибыли не является единственным критерием успешности реализации инвестиционного проекта, так как используемые ","type":"text"},{"attrs":{},"marks":[{"_":"font_size","value":"14pt"}],"type":"hard_break"},{"attrs":{},"marks":[{"_":"font_size","value":"14pt"},{"_":"font_family","value":"Times New Roman"}],"text":"в отчете о прибылях и убытках «доходы» и «расходы», как правило, ","type":"text"},{"attrs":{},"marks":[{"_":"font_size","value":"14pt"}],"type":"hard_break"},{"attrs":{},"marks":[{"_":"font_size","value":"14pt"},{"_":"font_family","value":"Times New Roman"}],"text":"не отражают действительного движения денежных средств в данном интервале планирования. В частности, оплата сырья обычно происходит в интервалах планирования, предшествующих периоду их использования в производстве, ","type":"text"},{"attrs":{},"marks":[{"_":"font_size","value":"14pt"}],"type":"hard_break"},{"attrs":{},"marks":[{"_":"font_size","value":"14pt"},{"_":"font_family","value":"Times New Roman"}],"text":"а поступление средств за готовую продукцию, произведенную в данном периоде, – в последующих интервалах планирования. ","type":"text"}],"type":"paragraph"},{"attrs":{"lineHeight":"1","paddingBottom":"","paddingLeft":"0pt","paddingTop":"","textAlign":"justify","textIndent":true,"textMark":[{"_":"font_size","value":"14pt"}]},"content":[{"attrs":{},"marks":[{"_":"font_size","value":"14pt"},{"_":"font_family","value":"Times New Roman"},{"_":"strong"}],"text":"Отчет о движении денежных средств ","type":"text"}],"type":"paragraph"},{"attrs":{"lineHeight":"1","paddingBottom":"","paddingLeft":"0pt","paddingTop":"","textAlign":"justify","textIndent":true,"textMark":[{"_":"font_size","value":"14pt"}]},"content":[{"attrs":{},"marks":[{"_":"font_size","value":"14pt"},{"_":"font_family","value":"Times New Roman"}],"text":"Предназначен для расчета денежного потока проекта и оценки ","type":"text"},{"attrs":{},"marks":[{"_":"font_size","value":"14pt"}],"type":"hard_break"},{"attrs":{},"marks":[{"_":"font_size","value":"14pt"},{"_":"font_family","value":"Times New Roman"}],"text":"его финансовой реализуемости. Денежный поток проекта рассчитывается ","type":"text"},{"attrs":{},"marks":[{"_":"font_size","value":"14pt"}],"type":"hard_break"},{"attrs":{},"marks":[{"_":"font_size","value":"14pt"},{"_":"font_family","value":"Times New Roman"}],"text":"на каждом интервале планирования проекта как сальдо притока и оттока денежных средств:","type":"text"}],"type":"paragraph"},{"attrs":{},"content":[{"attrs":{"listMarks":[{"_":"font_size","value":"14pt"}]},"content":[{"attrs":{"lineHeight":"1","paddingBottom":"","paddingLeft":"31.6pt","paddingTop":"","textAlign":"justify","textMark":[{"_":"font_size","value":"14pt"}]},"content":[{"attrs":{},"marks":[{"_":"font_size","value":"14pt"},{"_":"font_family","value":"Times New Roman"},{"_":"strong"}],"text":"приток","type":"text"},{"attrs":{},"marks":[{"_":"font_size","value":"14pt"},{"_":"font_family","value":"Times New Roman"}],"text":": поступления от реализации продукции (услуг), внереализационные доходы (продажа основных средств и пр.), увеличение акционерного (уставного) капитала за счет денежных взносов акционеров (учредителей), привлечение заемных средств (кредиты, ссуды, облигации);","type":"text"}],"type":"paragraph"}],"type":"list_item"},{"attrs":{"listMarks":[{"_":"font_size","value":"14pt"}]},"content":[{"attrs":{"lineHeight":"1","paddingBottom":"","paddingLeft":"31.6pt","paddingTop":"","textAlign":"justify","textMark":[{"_":"font_size","value":"14pt"}]},"content":[{"attrs":{},"marks":[{"_":"font_size","value":"14pt"},{"_":"font_family","value":"Times New Roman"},{"_":"strong"}],"text":"отток:","type":"text"},{"attrs":{},"marks":[{"_":"font_size","value":"14pt"},{"_":"font_family","value":"Times New Roman"}],"text":" инвестиционные издержки, текущие затраты (без амортизации), налоги и отчисления, погашение займов и выплата процентов, выплата дивидендов.","type":"text"}],"type":"paragraph"}],"type":"list_item"}],"type":"bullet_list"},{"attrs":{"lineHeight":"1","paddingBottom":"","paddingLeft":"0pt","paddingTop":"","textAlign":"justify","textIndent":true,"textMark":[{"_":"font_size","value":"14pt"}]},"content":[{"attrs":{},"marks":[{"_":"font_size","value":"14pt"},{"_":"font_family","value":"Times New Roman"},{"_":"strong"}],"text":"Основным условием финансовой реализуемости проекта является","type":"text"},{"attrs":{},"marks":[{"_":"font_size","value":"14pt"},{"_":"font_family","value":"Times New Roman"}],"text":" положительное значение накопленного денежного потока проекта (рассчитанного нарастающим итогом) на каждом интервале планирования проекта. Выполнение данного условия обеспечивается подбором соответствующих источников финансирования, покрывающих дефицит денежных средств на этапе осуществления капитальных затрат и формирования первоначальных оборотных средств. ","type":"text"}],"type":"paragraph"},{"attrs":{"lineHeight":"1","paddingBottom":"","paddingLeft":"0pt","paddingTop":"","textAlign":"justify","textIndent":true,"textMark":[{"_":"font_size","value":"14pt"}]},"content":[{"attrs":{},"marks":[{"_":"font_size","value":"14pt"},{"_":"font_family","value":"Times New Roman"}],"text":"Нехватка наличности в каком-либо из последующих интервалах планирования, как правило, означает «банкротство» проекта, то есть ","type":"text"},{"attrs":{},"marks":[{"_":"font_size","value":"14pt"}],"type":"hard_break"},{"attrs":{},"marks":[{"_":"font_size","value":"14pt"},{"_":"font_family","value":"Times New Roman"}],"text":"его финансовую несостоятельность при данных условиях финансирования. ","type":"text"},{"attrs":{},"marks":[{"_":"font_size","value":"14pt"}],"type":"hard_break"},{"attrs":{},"marks":[{"_":"font_size","value":"14pt"},{"_":"font_family","value":"Times New Roman"}],"text":"При этом расчет других показателей эффективности проекта теряет смысл.","type":"text"}],"type":"paragraph"},{"attrs":{"order":1},"content":[{"attrs":{"listMarks":[]},"content":[{"attrs":{"order":1},"content":[{"attrs":{"listMarks":[{"_":"font_size","value":"14pt"}]},"content":[{"attrs":{"lineHeight":"1","paddingBottom":"","paddingLeft":"18pt","paddingTop":"","textAlign":"justify","textMark":[{"_":"font_size","value":"14pt"}]},"content":[{"attrs":{},"marks":[{"_":"font_size","value":"14pt"},{"_":"font_family","value":"Times New Roman"},{"_":"strong"}],"text":"Оценка экономической эффективности проекта","type":"text"}],"type":"paragraph"}],"type":"list_item"}],"type":"ordered_list"}],"type":"list_item"}],"type":"ordered_list"},{"attrs":{"lineHeight":"1","paddingBottom":"","paddingLeft":"0pt","paddingTop":"","textAlign":"","textIndent":true,"textMark":[{"_":"font_size","value":"14pt"}]},"content":[{"attrs":{},"marks":[{"_":"font_size","value":"14pt"},{"_":"font_family","value":"Times New Roman"}],"text":"Показатели эффективности проекта, необходимые для расчета:","type":"text"}],"type":"paragraph"},{"attrs":{},"content":[{"attrs":{"listMarks":[{"_":"font_size","value":"14pt"}]},"content":[{"attrs":{"lineHeight":"1","paddingBottom":"","paddingLeft":"18pt","paddingTop":"","textAlign":"","textMark":[{"_":"font_size","value":"14pt"}]},"content":[{"attrs":{},"marks":[{"_":"font_size","value":"14pt"},{"_":"font_family","value":"Times New Roman"}],"text":"Срок окупаемости (РВР);","type":"text"}],"type":"paragraph"}],"type":"list_item"},{"attrs":{"listMarks":[{"_":"font_size","value":"14pt"}]},"content":[{"attrs":{"lineHeight":"1","paddingBottom":"","paddingLeft":"18pt","paddingTop":"","textAlign":"","textMark":[{"_":"font_size","value":"14pt"}]},"content":[{"attrs":{},"marks":[{"_":"font_size","value":"14pt"},{"_":"font_family","value":"Times New Roman"}],"text":"Дисконтированный срок окупаемости (DPBP); ","type":"text"}],"type":"paragraph"}],"type":"list_item"},{"attrs":{"listMarks":[{"_":"font_size","value":"14pt"}]},"content":[{"attrs":{"lineHeight":"1","paddingBottom":"","paddingLeft":"18pt","paddingTop":"","textAlign":"","textMark":[{"_":"font_size","value":"14pt"}]},"content":[{"attrs":{},"marks":[{"_":"font_size","value":"14pt"},{"_":"font_family","value":"Times New Roman"}],"text":"Чистая приведенная стоимость (NPV);","type":"text"}],"type":"paragraph"}],"type":"list_item"},{"attrs":{"listMarks":[{"_":"font_size","value":"14pt"}]},"content":[{"attrs":{"lineHeight":"1","paddingBottom":"","paddingLeft":"18pt","paddingTop":"","textAlign":"","textMark":[{"_":"font_size","value":"14pt"}]},"content":[{"attrs":{},"marks":[{"_":"font_size","value":"14pt"},{"_":"font_family","value":"Times New Roman"}],"text":"Внутренняя норма доходности (IRR).","type":"text"}],"type":"paragraph"}],"type":"list_item"}],"type":"bullet_list"},{"attrs":{"lineHeight":"1","paddingBottom":"","paddingLeft":"0pt","paddingTop":"","textAlign":"justify","textIndent":true,"textMark":[{"_":"font_size","value":"14pt"}]},"content":[{"attrs":{},"marks":[{"_":"font_size","value":"14pt"},{"_":"font_family","value":"Times New Roman"}],"text":"Ни один из перечисленных показателей эффективности сам по себе ","type":"text"},{"attrs":{},"marks":[{"_":"font_size","value":"14pt"}],"type":"hard_break"},{"attrs":{},"marks":[{"_":"font_size","value":"14pt"},{"_":"font_family","value":"Times New Roman"}],"text":"не является достаточным для принятия проекта к реализации. Важную роль играет соотношение и распределение во времени собственных ","type":"text"},{"attrs":{},"marks":[{"_":"font_size","value":"14pt"}],"type":"hard_break"},{"attrs":{},"marks":[{"_":"font_size","value":"14pt"},{"_":"font_family","value":"Times New Roman"}],"text":"и привлекаемых для осуществления проекта средств, а также другие факторы, некоторые из которых поддаются только качественному ","type":"text"},{"attrs":{},"marks":[{"_":"font_size","value":"14pt"}],"type":"hard_break"},{"attrs":{},"marks":[{"_":"font_size","value":"14pt"},{"_":"font_family","value":"Times New Roman"}],"text":"(а не формальному) анализу. ","type":"text"}],"type":"paragraph"},{"attrs":{"lineHeight":"1","paddingBottom":"","paddingLeft":"0pt","paddingTop":"","textAlign":"justify","textIndent":true,"textMark":[{"_":"font_size","value":"14pt"}]},"content":[{"attrs":{},"marks":[{"_":"font_size","value":"14pt"},{"_":"font_family","value":"Times New Roman"},{"_":"strong"}],"text":"Срок окупаемости (РВР)","type":"text"}],"type":"paragraph"},{"attrs":{"lineHeight":"1","paddingBottom":"","paddingLeft":"0pt","paddingTop":"","textAlign":"justify","textIndent":true,"textMark":[{"_":"font_size","value":"14pt"}]},"content":[{"attrs":{},"marks":[{"_":"font_size","value":"14pt"},{"_":"font_family","value":"Times New Roman"}],"text":"Сроком окупаемости (\"простым\") называется продолжительность периода от начала расчета до наиболее раннего интервала планирования, после которого чистый доход проекта становится и в дальнейшем остается положительным.","type":"text"}],"type":"paragraph"},{"attrs":{"lineHeight":"1","paddingBottom":"","paddingLeft":"0pt","paddingTop":"","textAlign":"justify","textIndent":true,"textMark":[{"_":"font_size","value":"14pt"}]},"content":[{"attrs":{},"marks":[{"_":"font_size","value":"14pt"},{"_":"font_family","value":"Times New Roman"}],"text":"Чистый доход проекта рассчитывается нарастающим итогом на основе следующего денежного потока:","type":"text"}],"type":"paragraph"},{"attrs":{},"content":[{"attrs":{"listMarks":[{"_":"font_size","value":"14pt"}]},"content":[{"attrs":{"lineHeight":"1","paddingBottom":"","paddingLeft":"18pt","paddingTop":"","textAlign":"justify","textMark":[{"_":"font_size","value":"14pt"}]},"content":[{"attrs":{},"marks":[{"_":"font_size","value":"14pt"},{"_":"font_family","value":"Times New Roman"},{"_":"strong"}],"text":"приток: ","type":"text"},{"attrs":{},"marks":[{"_":"font_size","value":"14pt"},{"_":"font_family","value":"Times New Roman"}],"text":"поступления от реализации продукции (услуг), внереализационные доходы;","type":"text"}],"type":"paragraph"}],"type":"list_item"},{"attrs":{"listMarks":[{"_":"font_size","value":"14pt"}]},"content":[{"attrs":{"lineHeight":"1","paddingBottom":"","paddingLeft":"18pt","paddingTop":"","textAlign":"justify","textMark":[{"_":"font_size","value":"14pt"}]},"content":[{"attrs":{},"marks":[{"_":"font_size","value":"14pt"},{"_":"font_family","value":"Times New Roman"},{"_":"strong"}],"text":"отток: ","type":"text"},{"attrs":{},"marks":[{"_":"font_size","value":"14pt"},{"_":"font_family","value":"Times New Roman"}],"text":"инвестиционные издержки, текущие затраты (без амортизации), налоги и отчисления.","type":"text"}],"type":"paragraph"}],"type":"list_item"}],"type":"bullet_list"},{"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Roman"},{"_":"strong"}],"text":"Дисконтированный срок окупаемости (DPBP)","type":"text"}],"type":"paragraph"},{"attrs":{"lineHeight":"1","paddingBottom":"","paddingLeft":"0pt","paddingTop":"","textAlign":"justify","textIndent":true,"textMark":[{"_":"font_size","value":"14pt"}]},"content":[{"attrs":{},"marks":[{"_":"font_size","value":"14pt"},{"_":"font_family","value":"Times New Roman"}],"text":"Дисконтированный срок окупаемости определяется аналогично «простому», но на основе чистого дисконтированного дохода и, соответственно, дисконтированного денежного потока проекта.","type":"text"}],"type":"paragraph"},{"attrs":{"lineHeight":"1","paddingBottom":"","paddingLeft":"0pt","paddingTop":"","textAlign":"justify","textIndent":true,"textMark":[{"_":"font_size","value":"14pt"}]},"content":[{"attrs":{},"marks":[{"_":"font_size","value":"14pt"},{"_":"font_family","value":"Times New Roman"}],"text":"При этом значения денежного потока приводятся к начальному интервалу планирования (дисконтируются) путем умножения на соответствующий коэффициент дисконтирования:","type":"text"}],"type":"paragraph"},{"attrs":{"lineHeight":"1","paddingBottom":"","paddingLeft":"0pt","paddingTop":"","textAlign":"justify","textIndent":true,"textMark":[{"_":"font_size","value":"14pt"}]},"content":[{"attrs":{},"marks":[{"_":"font_size","value":"14pt"},{"_":"font_family","value":"Times New Roman"}],"text":"dt =1 / (1 + Dt)t-1 ,","type":"text"}],"type":"paragraph"},{"attrs":{"lineHeight":"1","paddingBottom":"","paddingLeft":"0pt","paddingTop":"","textAlign":"justify","textIndent":true,"textMark":[{"_":"font_size","value":"14pt"}]},"content":[{"attrs":{},"marks":[{"_":"font_size","value":"14pt"},{"_":"font_family","value":"Times New Roman"}],"text":"где:    t - номер интервала планирования (t = 1,2,...);","type":"text"}],"type":"paragraph"},{"attrs":{"lineHeight":"1","paddingBottom":"","paddingLeft":"0pt","paddingTop":"","textAlign":"justify","textIndent":true,"textMark":[{"_":"font_size","value":"14pt"}]},"content":[{"attrs":{},"marks":[{"_":"font_size","value":"14pt"},{"_":"font_family","value":"Times New Roman"}],"text":"Dt – зависит от длительности t-го интервала планирования и равна: ","type":"text"},{"attrs":{},"marks":[{"_":"font_size","value":"8pt"},{"_":"font_family","value":"Times New Roman"},{"_":"strong"}],"text":"12","type":"text"},{"attrs":{},"marks":[{"_":"font_size","value":"14pt"},{"_":"font_family","value":"Times New Roman"},{"_":"strong"}],"text":" ","type":"text"},{"attrs":{},"marks":[{"_":"font_size","value":"14pt"},{"_":"font_family","value":"Times New Roman"}],"text":"  D  ","type":"text"},{"attrs":{},"marks":[{"_":"font_size","value":"14pt"}],"type":"hard_break"}],"type":"paragraph"},{"attrs":{"lineHeight":"1","paddingBottom":"","paddingLeft":"0pt","paddingTop":"","textAlign":"justify","textMark":[{"_":"font_size","value":"14pt"}]},"content":[{"attrs":{},"marks":[{"_":"font_size","value":"14pt"},{"_":"font_family","value":"Times New Roman"}],"text":"для месяца;               для квартала;  ","type":"text"},{"attrs":{},"marks":[{"_":"font_size","value":"8pt"},{"_":"font_family","value":"Times New Roman"}],"text":"2           ","type":"text"},{"attrs":{},"marks":[{"_":"font_size","value":"14pt"},{"_":"font_family","value":"Times New Roman"}],"text":"D для полугодия; D для годового интервала;","type":"text"}],"type":"paragraph"},{"attrs":{"lineHeight":"1","paddingBottom":"","paddingLeft":"0pt","paddingTop":"","textAlign":"justify","textIndent":true,"textMark":[{"_":"font_size","value":"14pt"}]},"content":[{"attrs":{},"marks":[{"_":"font_size","value":"14pt"},{"_":"font_family","value":"Times New Roman"}],"text":"D – принятая ставка дисконтирования проекта (ее обоснование приводится ниже).","type":"text"}],"type":"paragraph"},{"attrs":{"lineHeight":"1","paddingBottom":"","paddingLeft":"0pt","paddingTop":"","textAlign":"justify","textIndent":true,"textMark":[{"_":"font_size","value":"14pt"}]},"content":[{"attrs":{},"marks":[{"_":"font_size","value":"14pt"},{"_":"font_family","value":"Times New Roman"},{"_":"strong"}],"text":"Чистая приведенная стоимость (NPV)","type":"text"}],"type":"paragraph"},{"attrs":{"lineHeight":"1","paddingBottom":"","paddingLeft":"0pt","paddingTop":"","textAlign":"justify","textIndent":true,"textMark":[{"_":"font_size","value":"14pt"}]},"content":[{"attrs":{},"marks":[{"_":"font_size","value":"14pt"},{"_":"font_family","value":"Times New Roman"}],"text":"Важнейшим показателем эффективности проекта является чистая приведенная стоимость, которая равна значению чистого дисконтированного дохода на последнем интервале планирования (накопленный дисконтированный эффект, рассчитанный нарастающим итогом за период расчета проекта).","type":"text"}],"type":"paragraph"},{"attrs":{"lineHeight":"1","paddingBottom":"","paddingLeft":"0pt","paddingTop":"","textAlign":"justify","textIndent":true,"textMark":[{"_":"font_size","value":"14pt"}]},"content":[{"attrs":{},"marks":[{"_":"font_size","value":"14pt"},{"_":"font_family","value":"Times New Roman"}],"text":"Чистая приведенная стоимость характеризует превышение суммарных денежных поступлений над суммарными затратами для данного проекта ","type":"text"},{"attrs":{},"marks":[{"_":"font_size","value":"14pt"}],"type":"hard_break"},{"attrs":{},"marks":[{"_":"font_size","value":"14pt"},{"_":"font_family","value":"Times New Roman"}],"text":"с учетом в составе ставки дисконтирования: темпа инфляции, минимальной нормы прибыли кредитора и поправки на риск проекта.","type":"text"}],"type":"paragraph"},{"attrs":{"lineHeight":"1","paddingBottom":"","paddingLeft":"0pt","paddingTop":"","textAlign":"justify","textIndent":true,"textMark":[{"_":"font_size","value":"14pt"}]},"content":[{"attrs":{},"marks":[{"_":"font_size","value":"14pt"},{"_":"font_family","value":"Times New Roman"}],"text":"Необходимо, чтобы чистая приведенная стоимость проекта была положительна.","type":"text"}],"type":"paragraph"},{"attrs":{"lineHeight":"1","paddingBottom":"","paddingLeft":"0pt","paddingTop":"","textAlign":"justify","textIndent":true,"textMark":[{"_":"font_size","value":"14pt"}]},"content":[{"attrs":{},"marks":[{"_":"font_size","value":"14pt"},{"_":"font_family","value":"Times New Roman"},{"_":"strong"}],"text":"Внутренняя норма доходности (IRR)","type":"text"}],"type":"paragraph"},{"attrs":{"lineHeight":"1","paddingBottom":"","paddingLeft":"0pt","paddingTop":"","textAlign":"justify","textIndent":true,"textMark":[{"_":"font_size","value":"14pt"}]},"content":[{"attrs":{},"marks":[{"_":"font_size","value":"14pt"},{"_":"font_family","value":"Times New Roman"}],"text":"Внутренней нормой доходности называется ставка дисконтирования, ","type":"text"},{"attrs":{},"marks":[{"_":"font_size","value":"14pt"}],"type":"hard_break"},{"attrs":{},"marks":[{"_":"font_size","value":"14pt"},{"_":"font_family","value":"Times New Roman"}],"text":"при котором чистая приведенная стоимость проекта обращается в ноль. Соответствующая ставка определяется итерационным подбором при расчетах чистой приведенной стоимости, либо с использованием финансового калькулятора или табличного процессора Excel, содержащих встроенную функцию для расчета IRR.","type":"text"}],"type":"paragraph"},{"attrs":{"lineHeight":"1","paddingBottom":"","paddingLeft":"0pt","paddingTop":"","textAlign":"justify","textIndent":true,"textMark":[{"_":"font_size","value":"14pt"}]},"content":[{"attrs":{},"marks":[{"_":"font_size","value":"14pt"},{"_":"font_family","value":"Times New Roman"}],"text":"Для оценки эффективности проекта значение внутренней нормы доходности необходимо сопоставлять с годовой ставкой процента ","type":"text"},{"attrs":{},"marks":[{"_":"font_size","value":"14pt"}],"type":"hard_break"},{"attrs":{},"marks":[{"_":"font_size","value":"14pt"},{"_":"font_family","value":"Times New Roman"}],"text":"по инвестиционным кредитам.","type":"text"}],"type":"paragraph"},{"attrs":{"lineHeight":"1","paddingBottom":"","paddingLeft":"0pt","paddingTop":"","textAlign":"justify","textIndent":true,"textMark":[{"_":"font_size","value":"14pt"}]},"content":[{"attrs":{},"marks":[{"_":"font_size","value":"14pt"},{"_":"font_family","value":"Times New Roman"},{"_":"strong"}],"text":"Обоснование ставки дисконтирования (D)","type":"text"}],"type":"paragraph"},{"attrs":{"lineHeight":"1","paddingBottom":"","paddingLeft":"0pt","paddingTop":"","textAlign":"justify","textIndent":true,"textMark":[{"_":"font_size","value":"14pt"}]},"content":[{"attrs":{},"marks":[{"_":"font_size","value":"14pt"},{"_":"font_family","value":"Times New Roman"}],"text":"В соответствии с распространенным положением теории инвестиционного анализа предполагается, что ставка дисконтирования должна содержать темп инфляции, минимальную норму прибыли кредитора ","type":"text"},{"attrs":{},"marks":[{"_":"font_size","value":"14pt"}],"type":"hard_break"},{"attrs":{},"marks":[{"_":"font_size","value":"14pt"},{"_":"font_family","value":"Times New Roman"}],"text":"и поправку, учитывающую степень риска конкретного проекта.","type":"text"}],"type":"paragraph"},{"attrs":{"lineHeight":"","paddingBottom":"","paddingLeft":"","paddingTop":"","textAlign":"","textMark":[{"_":"font_size","value":"14pt"}]},"content":[{"attrs":{},"marks":[{"_":"font_size","value":"14pt"}],"text":" ","type":"text"}],"type":"paragraph"},{"attrs":{"order":1},"content":[{"attrs":{"listMarks":[{"_":"font_size","value":"14pt"}]},"content":[{"attrs":{"lineHeight":"1","paddingBottom":"","paddingLeft":"18pt","paddingTop":"","textAlign":"center","textMark":[{"_":"font_size","value":"14pt"}]},"content":[{"attrs":{},"marks":[{"_":"font_size","value":"14pt"},{"_":"font_family","value":"Times New Roman"},{"_":"strong"}],"text":"План финансирования","type":"text"}],"type":"paragraph"}],"type":"list_item"}],"type":"ordered_list"},{"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Roman"}],"text":"Раздел должен содержать следующую информацию: ","type":"text"}],"type":"paragraph"},{"attrs":{},"content":[{"attrs":{"listMarks":[{"_":"font_size","value":"14pt"}]},"content":[{"attrs":{"lineHeight":"1","paddingBottom":"","paddingLeft":"18pt","paddingTop":"","textAlign":"justify","textMark":[{"_":"font_size","value":"14pt"}]},"content":[{"attrs":{},"marks":[{"_":"font_size","value":"14pt"},{"_":"font_family","value":"Times New Roman"}],"text":"общая потребность в финансировании (в разбивке по основным категориям инвестиционных затрат); ","type":"text"}],"type":"paragraph"}],"type":"list_item"},{"attrs":{"listMarks":[{"_":"font_size","value":"14pt"}]},"content":[{"attrs":{"lineHeight":"1","paddingBottom":"","paddingLeft":"18pt","paddingTop":"","textAlign":"justify","textMark":[{"_":"font_size","value":"14pt"}]},"content":[{"attrs":{},"marks":[{"_":"font_size","value":"14pt"},{"_":"font_family","value":"Times New Roman"}],"text":"предполагаемая структура источников финансирования; ","type":"text"}],"type":"paragraph"}],"type":"list_item"},{"attrs":{"listMarks":[{"_":"font_size","value":"14pt"}]},"content":[{"attrs":{"lineHeight":"1","paddingBottom":"","paddingLeft":"18pt","paddingTop":"","textAlign":"justify","textMark":[{"_":"font_size","value":"14pt"}]},"content":[{"attrs":{},"marks":[{"_":"font_size","value":"14pt"},{"_":"font_family","value":"Times New Roman"}],"text":"размер собственных средств (которые будут вложены в проект Получателем средств и его акционерами/участниками); ","type":"text"}],"type":"paragraph"}],"type":"list_item"},{"attrs":{"listMarks":[{"_":"font_size","value":"14pt"}]},"content":[{"attrs":{"lineHeight":"1","paddingBottom":"","paddingLeft":"18pt","paddingTop":"","textAlign":"justify","textMark":[{"_":"font_size","value":"14pt"}]},"content":[{"attrs":{},"marks":[{"_":"font_size","value":"14pt"},{"_":"font_family","value":"Times New Roman"}],"text":"возможность внесения дополнительного (резервного) финансирования Получателем средств или иными Участниками проекта; ","type":"text"}],"type":"paragraph"}],"type":"list_item"},{"attrs":{"listMarks":[{"_":"font_size","value":"14pt"}]},"content":[{"attrs":{"lineHeight":"1","paddingBottom":"","paddingLeft":"18pt","paddingTop":"","textAlign":"justify","textMark":[{"_":"font_size","value":"14pt"}]},"content":[{"attrs":{},"marks":[{"_":"font_size","value":"14pt"},{"_":"font_family","value":"Times New Roman"}],"text":"предполагаемый размер и форма участия Кредитора; ","type":"text"}],"type":"paragraph"}],"type":"list_item"},{"attrs":{"listMarks":[{"_":"font_size","value":"14pt"}]},"content":[{"attrs":{"lineHeight":"1","paddingBottom":"","paddingLeft":"18pt","paddingTop":"","textAlign":"justify","textMark":[{"_":"font_size","value":"14pt"}]},"content":[{"attrs":{},"marks":[{"_":"font_size","value":"14pt"},{"_":"font_family","value":"Times New Roman"}],"text":"предполагаемый график предоставления, обслуживания и возврата долга Кредитору/рам и возможные варианты выхода Кредитора/ров ","type":"text"},{"attrs":{},"marks":[{"_":"font_size","value":"14pt"}],"type":"hard_break"},{"attrs":{},"marks":[{"_":"font_size","value":"14pt"},{"_":"font_family","value":"Times New Roman"}],"text":"из уставного капитала (если предполагается соответствующее финансирование); ","type":"text"}],"type":"paragraph"}],"type":"list_item"},{"attrs":{"listMarks":[{"_":"font_size","value":"14pt"}]},"content":[{"attrs":{"lineHeight":"1","paddingBottom":"","paddingLeft":"18pt","paddingTop":"","textAlign":"justify","textMark":[{"_":"font_size","value":"14pt"}]},"content":[{"attrs":{},"marks":[{"_":"font_size","value":"14pt"},{"_":"font_family","value":"Times New Roman"}],"text":"предложения по контролю Кредитора/ров за ходом реализации проекта и целевым использованием средств (например, возможность передачи в залог акций Получателя средств или основных акционеров Получателя средств; выделение финансирования в виде траншей; представительство Кредитора/ров в Совете директоров; раздельный учет операций по проекту от текущей деятельности; использование резервных счетов расходов и авторизация платежей; мониторингом выполнения графика реализации проекта и т.д.);  ","type":"text"}],"type":"paragraph"}],"type":"list_item"},{"attrs":{"listMarks":[{"_":"font_size","value":"14pt"}]},"content":[{"attrs":{"lineHeight":"1","paddingBottom":"","paddingLeft":"18pt","paddingTop":"","textAlign":"justify","textMark":[{"_":"font_size","value":"14pt"}]},"content":[{"attrs":{},"marks":[{"_":"font_size","value":"14pt"},{"_":"font_family","value":"Times New Roman"}],"text":"размер, форма и условия (в том числе, предварительные) предоставления финансирования иными Участниками проекта (если рассматривается такая возможность).","type":"text"}],"type":"paragraph"}],"type":"list_item"}],"type":"bullet_list"},{"attrs":{"lineHeight":"1","paddingBottom":"","paddingLeft":"0pt","paddingTop":"","textAlign":"justify","textIndent":true,"textMark":[{"_":"font_size","value":"14pt"}]},"content":[{"attrs":{},"marks":[{"_":"font_size","value":"14pt"},{"_":"font_family","value":"Times New Roman"},{"_":"strong"}],"text":"Ставка дисконтирования без учета риска проекта (d) ","type":"text"},{"attrs":{},"marks":[{"_":"font_size","value":"14pt"},{"_":"font_family","value":"Times New Roman"}],"text":"определяется ","type":"text"},{"attrs":{},"marks":[{"_":"font_size","value":"14pt"}],"type":"hard_break"},{"attrs":{},"marks":[{"_":"font_size","value":"14pt"},{"_":"font_family","value":"Times New Roman"}],"text":"в долях единицы как отношение ставки рефинансирования (r), установленной Центральным банком Российской Федерации, и объявленного Правительством Российской Федерации на текущий год темпа инфляции (i):","type":"text"}],"type":"paragraph"},{"attrs":{"lineHeight":"1","paddingBottom":"","paddingLeft":"0pt","paddingTop":"","textAlign":"justify","textIndent":true,"textMark":[{"_":"font_size","value":"14pt"}]},"content":[{"attrs":{},"marks":[{"_":"font_size","value":"14pt"},{"_":"font_family","value":"Times New Roman"}],"text":"1 + d  = (1 + r/100) / (1 + i/100)","type":"text"}],"type":"paragraph"},{"attrs":{"lineHeight":"1","paddingBottom":"","paddingLeft":"0pt","paddingTop":"","textAlign":"justify","textIndent":true,"textMark":[{"_":"font_size","value":"14pt"}]},"content":[{"attrs":{},"marks":[{"_":"font_size","value":"14pt"},{"_":"font_family","value":"Times New Roman"}],"text":"Поправка на риск определяется, исходя из типовых и специфических рисков проекта, следующим образом:","type":"text"}],"type":"paragraph"},{"attrs":{"lineHeight":"1","paddingBottom":"","paddingLeft":"0pt","paddingTop":"","textAlign":"justify","textIndent":true,"textMark":[{"_":"font_size","value":"14pt"}]},"content":[{"attrs":{},"marks":[{"_":"font_size","value":"14pt"},{"_":"font_family","value":"Times New Roman"}],"text":"Интервал значений типовых рисков проекта определяется по данным следующей таблицы:","type":"text"}],"type":"paragraph"},{"attrs":{"colgroup":[{"width":140},{"width":398},{"width":103}],"synotable":"C3sZWcLImM"},"content":[{"attrs":{"height":23},"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center","textMark":[{"_":"font_size","value":"12pt"}]},"content":[{"attrs":{},"marks":[{"_":"font_size","value":"12pt"},{"_":"font_family","value":"Times New Roman"}],"text":"Величина ","type":"text"},{"attrs":{},"marks":[{"_":"font_size","value":"12pt"}],"type":"hard_break"},{"attrs":{},"marks":[{"_":"font_size","value":"12pt"},{"_":"font_family","value":"Times New Roman"}],"text":"типового риск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center","textMark":[{"_":"font_size","value":"12pt"}]},"content":[{"attrs":{},"marks":[{"_":"font_size","value":"12pt"},{"_":"font_family","value":"Times New Roman"}],"text":"Суть проект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center","textMark":[{"_":"font_size","value":"12pt"}]},"content":[{"attrs":{},"marks":[{"_":"font_size","value":"12pt"},{"_":"font_family","value":"Times New Roman"}],"text":"P, процент","type":"text"}],"type":"paragraph"}],"type":"table_cell"}],"type":"table_row"},{"attrs":{"height":17},"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textMark":[{"_":"font_size","value":"12pt"}]},"content":[{"attrs":{},"marks":[{"_":"font_size","value":"12pt"},{"_":"font_family","value":"Times New Roman"}],"text":"Низкий","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textMark":[{"_":"font_size","value":"12pt"}]},"content":[{"attrs":{},"marks":[{"_":"font_size","value":"12pt"},{"_":"font_family","value":"Times New Roman"}],"text":"Снижение себестоимости продукци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center","textMark":[{"_":"font_size","value":"12pt"}]},"content":[{"attrs":{},"marks":[{"_":"font_size","value":"12pt"},{"_":"font_family","value":"Times New Roman"}],"text":"6 – 10","type":"text"}],"type":"paragraph"}],"type":"table_cell"}],"type":"table_row"},{"attrs":{"height":17},"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textMark":[{"_":"font_size","value":"12pt"}]},"content":[{"attrs":{},"marks":[{"_":"font_size","value":"12pt"},{"_":"font_family","value":"Times New Roman"}],"text":"Средний","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textMark":[{"_":"font_size","value":"12pt"}]},"content":[{"attrs":{},"marks":[{"_":"font_size","value":"12pt"},{"_":"font_family","value":"Times New Roman"}],"text":"Увеличение объема продаж существующей продукци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center","textMark":[{"_":"font_size","value":"12pt"}]},"content":[{"attrs":{},"marks":[{"_":"font_size","value":"12pt"},{"_":"font_family","value":"Times New Roman"}],"text":"8 – 12","type":"text"}],"type":"paragraph"}],"type":"table_cell"}],"type":"table_row"},{"attrs":{"height":17},"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textMark":[{"_":"font_size","value":"12pt"}]},"content":[{"attrs":{},"marks":[{"_":"font_size","value":"12pt"},{"_":"font_family","value":"Times New Roman"}],"text":"Высокий","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textMark":[{"_":"font_size","value":"12pt"}]},"content":[{"attrs":{},"marks":[{"_":"font_size","value":"12pt"},{"_":"font_family","value":"Times New Roman"}],"text":"Производство и продвижение на рынок нового продукта","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center","textMark":[{"_":"font_size","value":"12pt"}]},"content":[{"attrs":{},"marks":[{"_":"font_size","value":"12pt"},{"_":"font_family","value":"Times New Roman"}],"text":"11 – 15","type":"text"}],"type":"paragraph"}],"type":"table_cell"}],"type":"table_row"},{"attrs":{"height":17},"content":[{"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textMark":[{"_":"font_size","value":"12pt"}]},"content":[{"attrs":{},"marks":[{"_":"font_size","value":"12pt"},{"_":"font_family","value":"Times New Roman"}],"text":"Очень высокий","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textMark":[{"_":"font_size","value":"12pt"}]},"content":[{"attrs":{},"marks":[{"_":"font_size","value":"12pt"},{"_":"font_family","value":"Times New Roman"}],"text":"Вложения в исследования и инновации","type":"text"}],"type":"paragraph"}],"type":"table_cell"},{"attrs":{"borderBottomColor":"#000000","borderBottomStyle":"solid","borderBottomWidth":1,"borderLeftColor":"#000000","borderLeftStyle":"solid","borderLeftWidth":1,"borderRightColor":"#000000","borderRightStyle":"solid","borderRightWidth":1,"borderTopColor":"#000000","borderTopStyle":"solid","borderTopWidth":1,"colspan":1,"rowspan":1,"verticalAlign":"middle"},"content":[{"attrs":{"lineHeight":"1.15","paddingBottom":"","paddingLeft":"3.45pt","paddingTop":"","textAlign":"center","textMark":[{"_":"font_size","value":"12pt"}]},"content":[{"attrs":{},"marks":[{"_":"font_size","value":"12pt"},{"_":"font_family","value":"Times New Roman"}],"text":"16 – 20","type":"text"}],"type":"paragraph"}],"type":"table_cell"}],"type":"table_row"}],"type":"table"},{"attrs":{"lineHeight":"1","paddingBottom":"","paddingLeft":"0pt","paddingTop":"","textAlign":"justify","textIndent":true,"textMark":[{"_":"font_size","value":"14pt"}]},"content":[{"attrs":{},"marks":[{"_":"font_size","value":"14pt"},{"_":"font_family","value":"Times New Roman"}],"text":"Конкретное значение поправки принимается по нижней, средней ","type":"text"},{"attrs":{},"marks":[{"_":"font_size","value":"14pt"}],"type":"hard_break"},{"attrs":{},"marks":[{"_":"font_size","value":"14pt"},{"_":"font_family","value":"Times New Roman"}],"text":"или верхней границе интервала типового риска в зависимости от приведенной ","type":"text"},{"attrs":{},"marks":[{"_":"font_size","value":"14pt"}],"type":"hard_break"},{"attrs":{},"marks":[{"_":"font_size","value":"14pt"},{"_":"font_family","value":"Times New Roman"}],"text":"в бизнес-плане соответствующей оценки величины специфических рисков ","type":"text"},{"attrs":{},"marks":[{"_":"font_size","value":"14pt"}],"type":"hard_break"},{"attrs":{},"marks":[{"_":"font_size","value":"14pt"},{"_":"font_family","value":"Times New Roman"}],"text":"и чувствительности к ним проекта.","type":"text"}],"type":"paragraph"},{"attrs":{"lineHeight":"1","paddingBottom":"","paddingLeft":"0pt","paddingTop":"","textAlign":"justify","textIndent":true,"textMark":[{"_":"font_size","value":"14pt"}]},"content":[{"attrs":{},"marks":[{"_":"font_size","value":"14pt"},{"_":"font_family","value":"Times New Roman"},{"_":"strong"}],"text":"Ставка дисконтирования, учитывающая риски проекта, (D) ","type":"text"},{"attrs":{},"marks":[{"_":"font_size","value":"14pt"},{"_":"font_family","value":"Times New Roman"}],"text":"определяется в процентах по формуле:","type":"text"}],"type":"paragraph"},{"attrs":{"lineHeight":"1","paddingBottom":"","paddingLeft":"0pt","paddingTop":"","textAlign":"","textIndent":true,"textMark":[{"_":"font_size","value":"14pt"}]},"content":[{"attrs":{},"marks":[{"_":"font_size","value":"14pt"},{"_":"font_family","value":"Times New Roman"}],"text":"D = d х 100 + P,","type":"text"}],"type":"paragraph"},{"attrs":{"lineHeight":"1","paddingBottom":"","paddingLeft":"0pt","paddingTop":"","textAlign":"","textIndent":true,"textMark":[{"_":"font_size","value":"14pt"}]},"content":[{"attrs":{},"marks":[{"_":"font_size","value":"14pt"},{"_":"font_family","value":"Times New Roman"}],"text":"где:    P - поправка на риск.","type":"text"}],"type":"paragraph"},{"attrs":{"lineHeight":"1","paddingBottom":"","paddingLeft":"0pt","paddingTop":"","textAlign":"justify","textIndent":true,"textMark":[{"_":"font_size","value":"14pt"}]},"content":[{"attrs":{},"marks":[{"_":"font_size","value":"14pt"},{"_":"font_family","value":"Times New Roman"},{"_":"strong"}],"text":"АО «КАВКАЗ.РФ» оставляет за собой право корректировать ставку дисконтирования по результатам экспертизы бизнес-плана и других материалов по проекту","type":"text"}],"type":"paragraph"},{"attrs":{"lineHeight":"","paddingBottom":"","paddingLeft":"","paddingTop":"","textAlign":"","textMark":[{"_":"font_size","value":"14pt"}]},"content":[{"attrs":{},"marks":[{"_":"font_size","value":"14pt"}],"text":" ","type":"text"}],"type":"paragraph"},{"attrs":{"order":1},"content":[{"attrs":{"listMarks":[{"_":"font_size","value":"14pt"}]},"content":[{"attrs":{"lineHeight":"1","paddingBottom":"","paddingLeft":"18pt","paddingTop":"","textAlign":"center","textMark":[{"_":"font_size","value":"14pt"}]},"content":[{"attrs":{},"marks":[{"_":"font_size","value":"14pt"},{"_":"font_family","value":"Times New Roman"},{"_":"strong"}],"text":"Оценка и анализ проектных рисков","type":"text"}],"type":"paragraph"}],"type":"list_item"}],"type":"ordered_list"},{"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Roman"}],"text":"Анализ проектных рисков раздел должен содержать типы и описание основных рисков по проекту, их оценку (качественную оценку величины риска и/или количественную оценку вероятности реализации риска и степени потенциального ущерба), способы управления рисками (их снижения, распределения между Участниками) и предлагаемые гарантии инвесторам.","type":"text"}],"type":"paragraph"},{"attrs":{"lineHeight":"1","paddingBottom":"","paddingLeft":"0pt","paddingTop":"","textAlign":"justify","textIndent":true,"textMark":[{"_":"font_size","value":"14pt"}]},"content":[{"attrs":{},"marks":[{"_":"font_size","value":"14pt"},{"_":"font_family","value":"Times New Roman"}],"text":"Для проектов, реализуемых на принципах государственно-частного партнерства, необходимо привести матрицу рисков и предложения ","type":"text"},{"attrs":{},"marks":[{"_":"font_size","value":"14pt"}],"type":"hard_break"},{"attrs":{},"marks":[{"_":"font_size","value":"14pt"},{"_":"font_family","value":"Times New Roman"}],"text":"по распределению рисков между частным и государственным сектором с целью их минимизации.","type":"text"}],"type":"paragraph"},{"attrs":{"lineHeight":"1","paddingBottom":"","paddingLeft":"0pt","paddingTop":"","textAlign":"justify","textIndent":true,"textMark":[{"_":"font_size","value":"14pt"}]},"content":[{"attrs":{},"marks":[{"_":"font_size","value":"14pt"},{"_":"font_family","value":"Times New Roman"}],"text":"В данном разделе бизнес-плана, проводится качественный анализ рисков проекта, не поддающихся формализованному анализу.","type":"text"}],"type":"paragraph"},{"attrs":{"lineHeight":"1","paddingBottom":"","paddingLeft":"0pt","paddingTop":"","textAlign":"justify","textIndent":true,"textMark":[{"_":"font_size","value":"14pt"}]},"content":[{"attrs":{},"marks":[{"_":"font_size","value":"14pt"},{"_":"font_family","value":"Times New Roman"}],"text":"На основе приведенного ниже примерного перечня возможных рисков необходимо оценить вероятность их возникновения при реализации проекта ","type":"text"},{"attrs":{},"marks":[{"_":"font_size","value":"14pt"}],"type":"hard_break"},{"attrs":{},"marks":[{"_":"font_size","value":"14pt"},{"_":"font_family","value":"Times New Roman"}],"text":"в терминах: «высокая», «средняя», «низкая»; а также устойчивость проекта по отношению к рискам, отнесенным к категории вероятных. При этом необходимо использовать приведенный ниже перечень методов снижения рисков.","type":"text"}],"type":"paragraph"},{"attrs":{"lineHeight":"1","paddingBottom":"","paddingLeft":"0pt","paddingTop":"","textAlign":"justify","textIndent":true,"textMark":[{"_":"font_size","value":"14pt"}]},"content":[{"attrs":{},"marks":[{"_":"font_size","value":"14pt"},{"_":"font_family","value":"Times New Roman"},{"_":"strong"}],"text":"Риски, возникающие на этапе осуществления капитальных вложений:","type":"text"}],"type":"paragraph"},{"attrs":{},"content":[{"attrs":{"listMarks":[{"_":"font_size","value":"14pt"}]},"content":[{"attrs":{"lineHeight":"1","paddingBottom":"","paddingLeft":"18pt","paddingTop":"","textAlign":"justify","textMark":[{"_":"font_size","value":"14pt"}]},"content":[{"attrs":{},"marks":[{"_":"font_size","value":"14pt"},{"_":"font_family","value":"Times New Roman"}],"text":"невыполнение обязательств поставщиком (низкое качество, дефекты ","type":"text"},{"attrs":{},"marks":[{"_":"font_size","value":"14pt"}],"type":"hard_break"},{"attrs":{},"marks":[{"_":"font_size","value":"14pt"},{"_":"font_family","value":"Times New Roman"}],"text":"в оборудовании, технологии);","type":"text"}],"type":"paragraph"}],"type":"list_item"},{"attrs":{"listMarks":[{"_":"font_size","value":"14pt"}]},"content":[{"attrs":{"lineHeight":"1","paddingBottom":"","paddingLeft":"18pt","paddingTop":"","textAlign":"justify","textMark":[{"_":"font_size","value":"14pt"}]},"content":[{"attrs":{},"marks":[{"_":"font_size","value":"14pt"},{"_":"font_family","value":"Times New Roman"}],"text":"несвоевременная поставка и монтаж оборудования;","type":"text"}],"type":"paragraph"}],"type":"list_item"},{"attrs":{"listMarks":[{"_":"font_size","value":"14pt"}]},"content":[{"attrs":{"lineHeight":"1","paddingBottom":"","paddingLeft":"18pt","paddingTop":"","textAlign":"justify","textMark":[{"_":"font_size","value":"14pt"}]},"content":[{"attrs":{},"marks":[{"_":"font_size","value":"14pt"},{"_":"font_family","value":"Times New Roman"}],"text":"несовместимость отечественного оборудования с импортным;","type":"text"}],"type":"paragraph"}],"type":"list_item"},{"attrs":{"listMarks":[{"_":"font_size","value":"14pt"}]},"content":[{"attrs":{"lineHeight":"1","paddingBottom":"","paddingLeft":"18pt","paddingTop":"","textAlign":"justify","textMark":[{"_":"font_size","value":"14pt"}]},"content":[{"attrs":{},"marks":[{"_":"font_size","value":"14pt"},{"_":"font_family","value":"Times New Roman"}],"text":"срыв сроков строительства;","type":"text"}],"type":"paragraph"}],"type":"list_item"},{"attrs":{"listMarks":[{"_":"font_size","value":"14pt"}]},"content":[{"attrs":{"lineHeight":"1","paddingBottom":"","paddingLeft":"18pt","paddingTop":"","textAlign":"justify","textMark":[{"_":"font_size","value":"14pt"}]},"content":[{"attrs":{},"marks":[{"_":"font_size","value":"14pt"},{"_":"font_family","value":"Times New Roman"}],"text":"превышение расчетной стоимости проекта;","type":"text"}],"type":"paragraph"}],"type":"list_item"},{"attrs":{"listMarks":[{"_":"font_size","value":"14pt"}]},"content":[{"attrs":{"lineHeight":"1","paddingBottom":"","paddingLeft":"18pt","paddingTop":"","textAlign":"justify","textMark":[{"_":"font_size","value":"14pt"}]},"content":[{"attrs":{},"marks":[{"_":"font_size","value":"14pt"},{"_":"font_family","value":"Times New Roman"}],"text":"форс-мажор, материальный ущерб.","type":"text"}],"type":"paragraph"}],"type":"list_item"}],"type":"bullet_list"},{"attrs":{"lineHeight":"1","paddingBottom":"","paddingLeft":"0pt","paddingTop":"","textAlign":"justify","textIndent":true,"textMark":[{"_":"font_size","value":"14pt"}]},"content":[{"attrs":{},"marks":[{"_":"font_size","value":"14pt"},{"_":"font_family","value":"Times New Roman"},{"_":"strong"}],"text":"Риски, связанные с эксплуатацией предприятия:","type":"text"}],"type":"paragraph"},{"attrs":{},"content":[{"attrs":{"listMarks":[{"_":"font_size","value":"14pt"}]},"content":[{"attrs":{"lineHeight":"1","paddingBottom":"","paddingLeft":"18pt","paddingTop":"","textAlign":"justify","textMark":[{"_":"font_size","value":"14pt"}]},"content":[{"attrs":{},"marks":[{"_":"font_size","value":"14pt"},{"_":"font_family","value":"Times New Roman"}],"text":" невыход    на проектную мощность (возникновение     технологических или сырьевых ограничений);","type":"text"}],"type":"paragraph"}],"type":"list_item"},{"attrs":{"listMarks":[{"_":"font_size","value":"14pt"}]},"content":[{"attrs":{"lineHeight":"1","paddingBottom":"","paddingLeft":"18pt","paddingTop":"","textAlign":"justify","textMark":[{"_":"font_size","value":"14pt"}]},"content":[{"attrs":{},"marks":[{"_":"font_size","value":"14pt"},{"_":"font_family","value":"Times New Roman"}],"text":"выпуск продукции несоответствующего качества (возникновение технологических или сырьевых ограничений);","type":"text"}],"type":"paragraph"}],"type":"list_item"},{"attrs":{"listMarks":[{"_":"font_size","value":"14pt"}]},"content":[{"attrs":{"lineHeight":"1","paddingBottom":"","paddingLeft":"18pt","paddingTop":"","textAlign":"justify","textMark":[{"_":"font_size","value":"14pt"}]},"content":[{"attrs":{},"marks":[{"_":"font_size","value":"14pt"},{"_":"font_family","value":"Times New Roman"}],"text":"неудовлетворительный менеджмент;","type":"text"}],"type":"paragraph"}],"type":"list_item"},{"attrs":{"listMarks":[{"_":"font_size","value":"14pt"}]},"content":[{"attrs":{"lineHeight":"1","paddingBottom":"","paddingLeft":"18pt","paddingTop":"","textAlign":"justify","textMark":[{"_":"font_size","value":"14pt"}]},"content":[{"attrs":{},"marks":[{"_":"font_size","value":"14pt"},{"_":"font_family","value":"Times New Roman"}],"text":"продукция не находит сбыта в нужном стоимостном выражении ","type":"text"},{"attrs":{},"marks":[{"_":"font_size","value":"14pt"}],"type":"hard_break"},{"attrs":{},"marks":[{"_":"font_size","value":"14pt"},{"_":"font_family","value":"Times New Roman"}],"text":"и в расчетные сроки (возникновение ценовых ограничений, переоценка емкости рынка или недооценка конкуренции при маркетинге);","type":"text"}],"type":"paragraph"}],"type":"list_item"},{"attrs":{"listMarks":[{"_":"font_size","value":"14pt"}]},"content":[{"attrs":{"lineHeight":"1","paddingBottom":"","paddingLeft":"18pt","paddingTop":"","textAlign":"justify","textMark":[{"_":"font_size","value":"14pt"}]},"content":[{"attrs":{},"marks":[{"_":"font_size","value":"14pt"},{"_":"font_family","value":"Times New Roman"}],"text":"несвоевременность поставок сырья;","type":"text"}],"type":"paragraph"}],"type":"list_item"},{"attrs":{"listMarks":[{"_":"font_size","value":"14pt"}]},"content":[{"attrs":{"lineHeight":"1","paddingBottom":"","paddingLeft":"18pt","paddingTop":"","textAlign":"justify","textMark":[{"_":"font_size","value":"14pt"}]},"content":[{"attrs":{},"marks":[{"_":"font_size","value":"14pt"},{"_":"font_family","value":"Times New Roman"}],"text":"возникновение необходимости в дополнительных (сверх бизнес-плана) закупках сырья;","type":"text"}],"type":"paragraph"}],"type":"list_item"},{"attrs":{"listMarks":[{"_":"font_size","value":"14pt"}]},"content":[{"attrs":{"lineHeight":"1","paddingBottom":"","paddingLeft":"18pt","paddingTop":"","textAlign":"justify","textMark":[{"_":"font_size","value":"14pt"}]},"content":[{"attrs":{},"marks":[{"_":"font_size","value":"14pt"},{"_":"font_family","value":"Times New Roman"}],"text":"инфляция затрат (опережающий рост цен на сырье, энергоносители ","type":"text"},{"attrs":{},"marks":[{"_":"font_size","value":"14pt"}],"type":"hard_break"},{"attrs":{},"marks":[{"_":"font_size","value":"14pt"},{"_":"font_family","value":"Times New Roman"}],"text":"и др. статьи затрат);","type":"text"}],"type":"paragraph"}],"type":"list_item"},{"attrs":{"listMarks":[{"_":"font_size","value":"14pt"}]},"content":[{"attrs":{"lineHeight":"1","paddingBottom":"","paddingLeft":"18pt","paddingTop":"","textAlign":"justify","textMark":[{"_":"font_size","value":"14pt"}]},"content":[{"attrs":{},"marks":[{"_":"font_size","value":"14pt"},{"_":"font_family","value":"Times New Roman"}],"text":"удорожание финансирования (негативные изменения валютного курса);","type":"text"}],"type":"paragraph"}],"type":"list_item"},{"attrs":{"listMarks":[{"_":"font_size","value":"14pt"}]},"content":[{"attrs":{"lineHeight":"1","paddingBottom":"","paddingLeft":"18pt","paddingTop":"","textAlign":"justify","textMark":[{"_":"font_size","value":"14pt"}]},"content":[{"attrs":{},"marks":[{"_":"font_size","value":"14pt"},{"_":"font_family","value":"Times New Roman"}],"text":"транспортные риски;","type":"text"}],"type":"paragraph"}],"type":"list_item"},{"attrs":{"listMarks":[{"_":"font_size","value":"14pt"}]},"content":[{"attrs":{"lineHeight":"1","paddingBottom":"","paddingLeft":"18pt","paddingTop":"","textAlign":"justify","textMark":[{"_":"font_size","value":"14pt"}]},"content":[{"attrs":{},"marks":[{"_":"font_size","value":"14pt"},{"_":"font_family","value":"Times New Roman"}],"text":"экологические риски (возникновение непредвиденных затрат ","type":"text"},{"attrs":{},"marks":[{"_":"font_size","value":"14pt"}],"type":"hard_break"},{"attrs":{},"marks":[{"_":"font_size","value":"14pt"},{"_":"font_family","value":"Times New Roman"}],"text":"на возмещение ущерба);","type":"text"}],"type":"paragraph"}],"type":"list_item"},{"attrs":{"listMarks":[{"_":"font_size","value":"14pt"}]},"content":[{"attrs":{"lineHeight":"1","paddingBottom":"","paddingLeft":"18pt","paddingTop":"","textAlign":"justify","textMark":[{"_":"font_size","value":"14pt"}]},"content":[{"attrs":{},"marks":[{"_":"font_size","value":"14pt"},{"_":"font_family","value":"Times New Roman"}],"text":"форс-мажор, материальный ущерб.","type":"text"}],"type":"paragraph"}],"type":"list_item"}],"type":"bullet_list"},{"attrs":{"lineHeight":"1","paddingBottom":"","paddingLeft":"0pt","paddingTop":"","textAlign":"justify","textIndent":true,"textMark":[{"_":"font_size","value":"14pt"}]},"content":[{"attrs":{},"marks":[{"_":"font_size","value":"14pt"},{"_":"font_family","value":"Times New Roman"},{"_":"strong"}],"text":"Методы снижения рисков","type":"text"}],"type":"paragraph"},{"attrs":{"lineHeight":"1","paddingBottom":"","paddingLeft":"0pt","paddingTop":"","textAlign":"justify","textIndent":true,"textMark":[{"_":"font_size","value":"14pt"}]},"content":[{"attrs":{},"marks":[{"_":"font_size","value":"14pt"},{"_":"font_family","value":"Times New Roman"}],"text":"Наличие гарантий (в том числе банковских) от поставщиков технологии ","type":"text"},{"attrs":{},"marks":[{"_":"font_size","value":"14pt"}],"type":"hard_break"},{"attrs":{},"marks":[{"_":"font_size","value":"14pt"},{"_":"font_family","value":"Times New Roman"}],"text":"и оборудования, а также от подрядчиков:","type":"text"}],"type":"paragraph"},{"attrs":{},"content":[{"attrs":{"listMarks":[{"_":"font_size","value":"14pt"}]},"content":[{"attrs":{"lineHeight":"1","paddingBottom":"","paddingLeft":"46.85pt","paddingTop":"","textAlign":"justify","textMark":[{"_":"font_size","value":"14pt"}]},"content":[{"attrs":{},"marks":[{"_":"font_size","value":"14pt"},{"_":"font_family","value":"Times New Roman"}],"text":"возврата аванса;","type":"text"}],"type":"paragraph"}],"type":"list_item"},{"attrs":{"listMarks":[{"_":"font_size","value":"14pt"}]},"content":[{"attrs":{"lineHeight":"1","paddingBottom":"","paddingLeft":"46.85pt","paddingTop":"","textAlign":"justify","textMark":[{"_":"font_size","value":"14pt"}]},"content":[{"attrs":{},"marks":[{"_":"font_size","value":"14pt"},{"_":"font_family","value":"Times New Roman"}],"text":"надлежащего исполнения контрактов; своевременного завершения строительства.","type":"text"}],"type":"paragraph"}],"type":"list_item"}],"type":"bullet_list"},{"attrs":{"lineHeight":"1","paddingBottom":"","paddingLeft":"0pt","paddingTop":"","textAlign":"justify","textIndent":true,"textMark":[{"_":"font_size","value":"14pt"}]},"content":[{"attrs":{},"marks":[{"_":"font_size","value":"14pt"},{"_":"font_family","value":"Times New Roman"}],"text":"Контракты на базе твердых цен, «под ключ», наличие валютных оговорок, штрафных санкций, применение национального законодательства при разрешении споров и т.п.","type":"text"}],"type":"paragraph"},{"attrs":{"lineHeight":"1","paddingBottom":"","paddingLeft":"0pt","paddingTop":"","textAlign":"justify","textIndent":true,"textMark":[{"_":"font_size","value":"14pt"}]},"content":[{"attrs":{},"marks":[{"_":"font_size","value":"14pt"},{"_":"font_family","value":"Times New Roman"}],"text":"Наличие долгосрочных контрактов с поставщиками сырья, материалов, комплектующих. Наличие долгосрочных договоров на сбыт готовой продукции.","type":"text"}],"type":"paragraph"},{"attrs":{"lineHeight":"1","paddingBottom":"","paddingLeft":"0pt","paddingTop":"","textAlign":"justify","textIndent":true,"textMark":[{"_":"font_size","value":"14pt"}]},"content":[{"attrs":{},"marks":[{"_":"font_size","value":"14pt"},{"_":"font_family","value":"Times New Roman"}],"text":"Наличие альтернативных поставщиков сырья и покупателей готовой продукции. Создание запасов сырья, материалов, комплектующих и готовой продукции.","type":"text"}],"type":"paragraph"},{"attrs":{"lineHeight":"1","paddingBottom":"","paddingLeft":"0pt","paddingTop":"","textAlign":"justify","textIndent":true,"textMark":[{"_":"font_size","value":"14pt"}]},"content":[{"attrs":{},"marks":[{"_":"font_size","value":"14pt"},{"_":"font_family","value":"Times New Roman"}],"text":"Приемлемое соотношение собственных и заемных средств в составе источников финансирования проекта.","type":"text"}],"type":"paragraph"},{"attrs":{"lineHeight":"1","paddingBottom":"","paddingLeft":"0pt","paddingTop":"","textAlign":"justify","textIndent":true,"textMark":[{"_":"font_size","value":"14pt"}]},"content":[{"attrs":{},"marks":[{"_":"font_size","value":"14pt"},{"_":"font_family","value":"Times New Roman"}],"text":"Единообразие валют источников финансирования и контрактов ","type":"text"},{"attrs":{},"marks":[{"_":"font_size","value":"14pt"}],"type":"hard_break"},{"attrs":{},"marks":[{"_":"font_size","value":"14pt"},{"_":"font_family","value":"Times New Roman"}],"text":"на поставку оборудования, закупку сырья и сбыт готовой продукции.","type":"text"}],"type":"paragraph"},{"attrs":{"lineHeight":"1","paddingBottom":"","paddingLeft":"0pt","paddingTop":"","textAlign":"justify","textIndent":true,"textMark":[{"_":"font_size","value":"14pt"}]},"content":[{"attrs":{},"marks":[{"_":"font_size","value":"14pt"},{"_":"font_family","value":"Times New Roman"}],"text":"Наличие источников финансирования для формирования (пополнения) оборотного капитала с учетом запасов и платежного цикла проекта.","type":"text"}],"type":"paragraph"},{"attrs":{"lineHeight":"1","paddingBottom":"","paddingLeft":"0pt","paddingTop":"","textAlign":"justify","textIndent":true,"textMark":[{"_":"font_size","value":"14pt"}]},"content":[{"attrs":{},"marks":[{"_":"font_size","value":"14pt"},{"_":"font_family","value":"Times New Roman"}],"text":"Приемлемый коэффициент покрытия ссудной задолженности.","type":"text"}],"type":"paragraph"},{"attrs":{"lineHeight":"1","paddingBottom":"","paddingLeft":"0pt","paddingTop":"","textAlign":"justify","textIndent":true,"textMark":[{"_":"font_size","value":"14pt"}]},"content":[{"attrs":{},"marks":[{"_":"font_size","value":"14pt"},{"_":"font_family","value":"Times New Roman"}],"text":"Ограничения выплат дивидендов на период погашения инвестиционного кредита. Страхование имущества, валютных рисков и т.п.","type":"text"}],"type":"paragraph"},{"attrs":{"lineHeight":"1","paddingBottom":"","paddingLeft":"0pt","paddingTop":"","textAlign":"justify","textIndent":true,"textMark":[{"_":"font_size","value":"14pt"}]},"content":[{"attrs":{},"marks":[{"_":"font_size","value":"14pt"},{"_":"font_family","value":"Times New Roman"}],"text":"Открытие депонированных (накопительных) счетов в банке-кредиторе. Наличие достаточного обеспечения.","type":"text"}],"type":"paragraph"},{"attrs":{"lineHeight":"1","paddingBottom":"","paddingLeft":"0pt","paddingTop":"","textAlign":"justify","textIndent":true,"textMark":[{"_":"font_size","value":"14pt"}]},"content":[{"attrs":{},"marks":[{"_":"font_size","value":"14pt"},{"_":"font_family","value":"Times New Roman"}],"text":"Наличие экологической экспертизы.","type":"text"}],"type":"paragraph"},{"attrs":{"lineHeight":"1","paddingBottom":"","paddingLeft":"0pt","paddingTop":"","textAlign":"justify","textIndent":true,"textMark":[{"_":"font_size","value":"14pt"}]},"content":[{"attrs":{},"marks":[{"_":"font_size","value":"14pt"},{"_":"font_family","value":"Times New Roman"}],"text":"Формирование благоприятного отношения к проекту в СМИ. Поддержка проекта со стороны местных органов власти.","type":"text"}],"type":"paragraph"},{"attrs":{"lineHeight":"","paddingBottom":"","paddingLeft":"","paddingTop":"","textAlign":"","textMark":[{"_":"font_size","value":"14pt"}]},"content":[{"attrs":{},"marks":[{"_":"font_size","value":"14pt"}],"text":" ","type":"text"}],"type":"paragraph"},{"attrs":{"order":1},"content":[{"attrs":{"listMarks":[{"_":"font_size","value":"14pt"}]},"content":[{"attrs":{"lineHeight":"1","paddingBottom":"","paddingLeft":"18pt","paddingTop":"","textAlign":"center","textMark":[{"_":"font_size","value":"14pt"}]},"content":[{"attrs":{},"marks":[{"_":"font_size","value":"14pt"},{"_":"font_family","value":"Times New Roman"},{"_":"strong"}],"text":"Обеспечение","type":"text"}],"type":"paragraph"}],"type":"list_item"}],"type":"ordered_list"},{"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Roman"},{"_":"strong"}],"text":"Приводится расчет необходимого объема обеспечения, а также данные о предлагаемом обеспечении.","type":"text"}],"type":"paragraph"},{"attrs":{"lineHeight":"1","paddingBottom":"","paddingLeft":"0pt","paddingTop":"","textAlign":"justify","textIndent":true,"textMark":[{"_":"font_size","value":"14pt"}]},"content":[{"attrs":{},"marks":[{"_":"font_size","value":"14pt"},{"_":"font_family","value":"Times New Roman"}],"text":"Расчет требуемого объема обеспечения производится в соответствии ","type":"text"},{"attrs":{},"marks":[{"_":"font_size","value":"14pt"}],"type":"hard_break"},{"attrs":{},"marks":[{"_":"font_size","value":"14pt"},{"_":"font_family","value":"Times New Roman"}],"text":"с требованиями АО «КАВКАЗ.РФ».","type":"text"}],"type":"paragraph"},{"attrs":{"lineHeight":"1","paddingBottom":"","paddingLeft":"0pt","paddingTop":"","textAlign":"justify","textIndent":true,"textMark":[{"_":"font_size","value":"14pt"}]},"content":[{"attrs":{},"marks":[{"_":"font_size","value":"14pt"},{"_":"font_family","value":"Times New Roman"},{"_":"strong"}],"text":"В качестве способов обеспечения исполнения обязательств заемщиков в рамках инвестиционных проектов АО «КАВКАЗ.РФ» принимаются:","type":"text"}],"type":"paragraph"},{"attrs":{},"content":[{"attrs":{"listMarks":[{"_":"font_size","value":"14pt"}]},"content":[{"attrs":{"lineHeight":"1","paddingBottom":"","paddingLeft":"18pt","paddingTop":"","textAlign":"justify","textMark":[{"_":"font_size","value":"14pt"}]},"content":[{"attrs":{},"marks":[{"_":"font_size","value":"14pt"},{"_":"font_family","value":"Times New Roman"}],"text":"залог товаров в обороте (товарно-материальных ценностей, в том числе готовой продукции, сырья);","type":"text"}],"type":"paragraph"}],"type":"list_item"},{"attrs":{"listMarks":[{"_":"font_size","value":"14pt"}]},"content":[{"attrs":{"lineHeight":"1","paddingBottom":"","paddingLeft":"18pt","paddingTop":"","textAlign":"justify","textMark":[{"_":"font_size","value":"14pt"}]},"content":[{"attrs":{},"marks":[{"_":"font_size","value":"14pt"},{"_":"font_family","value":"Times New Roman"}],"text":"залог оборудования (станков, установок, технологических линий ","type":"text"},{"attrs":{},"marks":[{"_":"font_size","value":"14pt"}],"type":"hard_break"},{"attrs":{},"marks":[{"_":"font_size","value":"14pt"},{"_":"font_family","value":"Times New Roman"}],"text":"и т.д.); залог транспортных средств;","type":"text"}],"type":"paragraph"}],"type":"list_item"},{"attrs":{"listMarks":[{"_":"font_size","value":"14pt"}]},"content":[{"attrs":{"lineHeight":"1","paddingBottom":"","paddingLeft":"18pt","paddingTop":"","textAlign":"justify","textMark":[{"_":"font_size","value":"14pt"}]},"content":[{"attrs":{},"marks":[{"_":"font_size","value":"14pt"},{"_":"font_family","value":"Times New Roman"}],"text":"залог объектов недвижимости (жилых (в исключительных случаях) ","type":"text"},{"attrs":{},"marks":[{"_":"font_size","value":"14pt"}],"type":"hard_break"},{"attrs":{},"marks":[{"_":"font_size","value":"14pt"},{"_":"font_family","value":"Times New Roman"}],"text":"и нежилых помещений (складов, производственных помещений, офисов и т.д.); земельных участков; объектов незавершенного строительства; морских судов, судов внутреннего плавания, судов смешанного («река-море») плавания и т.д.);","type":"text"}],"type":"paragraph"}],"type":"list_item"},{"attrs":{"listMarks":[{"_":"font_size","value":"14pt"}]},"content":[{"attrs":{"lineHeight":"1","paddingBottom":"","paddingLeft":"18pt","paddingTop":"","textAlign":"justify","textMark":[{"_":"font_size","value":"14pt"}]},"content":[{"attrs":{},"marks":[{"_":"font_size","value":"14pt"},{"_":"font_family","value":"Times New Roman"}],"text":"залог сельскохозяйственных животных;","type":"text"}],"type":"paragraph"}],"type":"list_item"},{"attrs":{"listMarks":[{"_":"font_size","value":"14pt"}]},"content":[{"attrs":{"lineHeight":"1","paddingBottom":"","paddingLeft":"18pt","paddingTop":"","textAlign":"justify","textMark":[{"_":"font_size","value":"14pt"}]},"content":[{"attrs":{},"marks":[{"_":"font_size","value":"14pt"},{"_":"font_family","value":"Times New Roman"}],"text":"залог доли/акций в уставном капитале;","type":"text"}],"type":"paragraph"}],"type":"list_item"}],"type":"bullet_list"},{"attrs":{"lineHeight":"1","paddingBottom":"","paddingLeft":"0pt","paddingTop":"","textAlign":"justify","textIndent":true,"textMark":[{"_":"font_size","value":"14pt"}]},"content":[{"attrs":{},"marks":[{"_":"font_size","value":"14pt"},{"_":"font_family","value":"Times New Roman"}],"text":"В отдельных случаях в качестве способов обеспечения в совокупности ","type":"text"},{"attrs":{},"marks":[{"_":"font_size","value":"14pt"}],"type":"hard_break"},{"attrs":{},"marks":[{"_":"font_size","value":"14pt"},{"_":"font_family","value":"Times New Roman"}],"text":"с другими способами обеспечения исполнения обязательств могут быть рассмотрены:","type":"text"}],"type":"paragraph"},{"attrs":{},"content":[{"attrs":{"listMarks":[{"_":"font_size","value":"14pt"}]},"content":[{"attrs":{"lineHeight":"1","paddingBottom":"","paddingLeft":"18pt","paddingTop":"","textAlign":"justify","textMark":[{"_":"font_size","value":"14pt"}]},"content":[{"attrs":{},"marks":[{"_":"font_size","value":"14pt"},{"_":"font_family","value":"Times New Roman"}],"text":"залог имущества, приобретаемого в будущем;","type":"text"}],"type":"paragraph"}],"type":"list_item"},{"attrs":{"listMarks":[{"_":"font_size","value":"14pt"}]},"content":[{"attrs":{"lineHeight":"1","paddingBottom":"","paddingLeft":"18pt","paddingTop":"","textAlign":"justify","textMark":[{"_":"font_size","value":"14pt"}]},"content":[{"attrs":{},"marks":[{"_":"font_size","value":"14pt"},{"_":"font_family","value":"Times New Roman"}],"text":"залог имущественных прав (в том числе, удостоверенных ценной бумагой); банковская гарантия;","type":"text"}],"type":"paragraph"}],"type":"list_item"},{"attrs":{"listMarks":[{"_":"font_size","value":"14pt"}]},"content":[{"attrs":{"lineHeight":"1","paddingBottom":"","paddingLeft":"18pt","paddingTop":"","textAlign":"justify","textMark":[{"_":"font_size","value":"14pt"}]},"content":[{"attrs":{},"marks":[{"_":"font_size","value":"14pt"},{"_":"font_family","value":"Times New Roman"}],"text":"государственная гарантия субъекта Российской Федерации / муниципальная гарантия муниципального образования;","type":"text"}],"type":"paragraph"}],"type":"list_item"},{"attrs":{"listMarks":[{"_":"font_size","value":"14pt"}]},"content":[{"attrs":{"lineHeight":"1","paddingBottom":"","paddingLeft":"18pt","paddingTop":"","textAlign":"justify","textMark":[{"_":"font_size","value":"14pt"}]},"content":[{"attrs":{},"marks":[{"_":"font_size","value":"14pt"},{"_":"font_family","value":"Times New Roman"}],"text":"поручительство.","type":"text"}],"type":"paragraph"}],"type":"list_item"}],"type":"bullet_list"},{"attrs":{"lineHeight":"","paddingBottom":"","paddingLeft":"","paddingTop":"","textAlign":"","textMark":[{"_":"font_size","value":"14pt"}]},"content":[{"attrs":{},"marks":[{"_":"font_size","value":"14pt"}],"text":" ","type":"text"}],"type":"paragraph"},{"attrs":{"lineHeight":"","paddingBottom":"","paddingLeft":"","paddingTop":"","textAlign":"","textMark":[{"_":"font_size","value":"14pt"}]},"content":[{"attrs":{},"marks":[{"_":"font_size","value":"14pt"}],"text":" ","type":"text"}],"type":"paragraph"},{"attrs":{},"content":[{"attrs":{"listMarks":[{"_":"font_size","value":"14pt"}]},"content":[{"attrs":{"lineHeight":"1","paddingBottom":"","paddingLeft":"18pt","paddingTop":"","textAlign":"justify","textMark":[{"_":"font_size","value":"14pt"}]},"content":[{"attrs":{},"marks":[{"_":"font_size","value":"14pt"},{"_":"font_family","value":"Times New Roman"},{"_":"strong"}],"text":"Требования по подготовке финансовой модели инвестиционного проекта, предоставляемой в Акционерное общество «Курорты Северного Кавказа»","type":"text"}],"type":"paragraph"}],"type":"list_item"}],"type":"bullet_list"},{"attrs":{"lineHeight":"1","paddingBottom":"","paddingLeft":"0pt","paddingTop":"","textAlign":"justify","textMark":[{"_":"font_size","value":"14pt"}]},"content":[{"attrs":{},"marks":[{"_":"font_size","value":"14pt"},{"_":"font_family","value":"Times New Roman"}],"text":" ","type":"text"}],"type":"paragraph"},{"attrs":{"lineHeight":"1","paddingBottom":"","paddingLeft":"0pt","paddingTop":"","textAlign":"center","textMark":[{"_":"font_size","value":"14pt"}]},"content":[{"attrs":{},"marks":[{"_":"font_size","value":"14pt"},{"_":"font_family","value":"Times New Roman"},{"_":"strong"}],"text":"1. Требования к функциональным возможностям финансовой модели","type":"text"}],"type":"paragraph"},{"attrs":{"lineHeight":"","paddingBottom":"","paddingLeft":"","paddingTop":"","textAlign":"","textMark":[{"_":"font_size","value":"14pt"}]},"content":[{"attrs":{},"marks":[{"_":"font_size","value":"14pt"}],"text":"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Roman"}],"text":"Финансовая модель должна быть создана в формате Microsoft Excel (версия 97 или более поздняя), кроме случаев, когда иное согласовано с Банком. Имя файла финансовой модели должно ясно указывать на версию финансовой модели и дату подготовки. ","type":"text"}],"type":"paragraph"},{"attrs":{"lineHeight":"1","paddingBottom":"","paddingLeft":"0pt","paddingTop":"","textAlign":"justify","textIndent":true,"textMark":[{"_":"font_size","value":"14pt"}]},"content":[{"attrs":{},"marks":[{"_":"font_size","value":"14pt"},{"_":"font_family","value":"Times New Roman"}],"text":"Никакая часть финансовой модели не должна быть скрыта, защищена, заблокирована или иным образом недоступна для просмотра и внесения изменений.","type":"text"}],"type":"paragraph"},{"attrs":{"lineHeight":"1","paddingBottom":"","paddingLeft":"0pt","paddingTop":"","textAlign":"justify","textIndent":true,"textMark":[{"_":"font_size","value":"14pt"}]},"content":[{"attrs":{},"marks":[{"_":"font_size","value":"14pt"},{"_":"font_family","value":"Times New Roman"}],"text":"Финансовая модель должна обладать понятной и логичной структурой. Последовательно должны быть представлены исходные данные (допущения), финансовые прогнозы и промежуточные расчеты, результаты финансовых прогнозов; указанные элементы должны быть визуально отделены друг ","type":"text"},{"attrs":{},"marks":[{"_":"font_size","value":"14pt"}],"type":"hard_break"},{"attrs":{},"marks":[{"_":"font_size","value":"14pt"},{"_":"font_family","value":"Times New Roman"}],"text":"от друга, но связаны между собой расчетными формулами.","type":"text"}],"type":"paragraph"},{"attrs":{"lineHeight":"1","paddingBottom":"","paddingLeft":"0pt","paddingTop":"","textAlign":"justify","textIndent":true,"textMark":[{"_":"font_size","value":"14pt"}]},"content":[{"attrs":{},"marks":[{"_":"font_size","value":"14pt"},{"_":"font_family","value":"Times New Roman"}],"text":"Все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(не предоставленные в составе Проектного предложения) ","type":"text"},{"attrs":{},"marks":[{"_":"font_size","value":"14pt"}],"type":"hard_break"},{"attrs":{},"marks":[{"_":"font_size","value":"14pt"},{"_":"font_family","value":"Times New Roman"}],"text":"и циклические ссылки. В исключительных случаях, факт и причина отступления от данных правил должны быть изложены в описании ","type":"text"},{"attrs":{},"marks":[{"_":"font_size","value":"14pt"}],"type":"hard_break"},{"attrs":{},"marks":[{"_":"font_size","value":"14pt"},{"_":"font_family","value":"Times New Roman"}],"text":"к финансовой модели. ","type":"text"}],"type":"paragraph"},{"attrs":{"lineHeight":"1","paddingBottom":"","paddingLeft":"0pt","paddingTop":"","textAlign":"justify","textIndent":true,"textMark":[{"_":"font_size","value":"14pt"}]},"content":[{"attrs":{},"marks":[{"_":"font_size","value":"14pt"},{"_":"font_family","value":"Times New Roman"}],"text":"Финансовая модель должна допускать внесение изменений ","type":"text"},{"attrs":{},"marks":[{"_":"font_size","value":"14pt"}],"type":"hard_break"},{"attrs":{},"marks":[{"_":"font_size","value":"14pt"},{"_":"font_family","value":"Times New Roman"}],"text":"в первоначально заложенные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допущений (исходных данных) модели. ","type":"text"}],"type":"paragraph"},{"attrs":{"lineHeight":"1","paddingBottom":"","paddingLeft":"0pt","paddingTop":"","textAlign":"justify","textIndent":true,"textMark":[{"_":"font_size","value":"14pt"}]},"content":[{"attrs":{},"marks":[{"_":"font_size","value":"14pt"},{"_":"font_family","value":"Times New Roman"}],"text":"Если финансовые показатели, полученные в финансовой модели, основаны на одной или более базовых моделях, необходимо обеспечить динамические связи между этими базовыми моделями и финансовой моделью так, чтобы при внесении изменений в любую базовую модель происходило обновление финансовой модели. ","type":"text"}],"type":"paragraph"},{"attrs":{"lineHeight":"1","paddingBottom":"","paddingLeft":"0pt","paddingTop":"","textAlign":"justify","textIndent":true,"textMark":[{"_":"font_size","value":"14pt"}]},"content":[{"attrs":{},"marks":[{"_":"font_size","value":"14pt"},{"_":"font_family","value":"Times New Roman"}],"text":"Финансовая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ее составе должны присутствовать взаимосвязанные друг с другом прогнозный отчет о прибылях ","type":"text"},{"attrs":{},"marks":[{"_":"font_size","value":"14pt"}],"type":"hard_break"},{"attrs":{},"marks":[{"_":"font_size","value":"14pt"},{"_":"font_family","value":"Times New Roman"}],"text":"и убытках, прогнозный баланс, прогнозный отчет о движении денежных средств. ","type":"text"}],"type":"paragraph"},{"attrs":{"lineHeight":"1","paddingBottom":"","paddingLeft":"0pt","paddingTop":"","textAlign":"justify","textIndent":true,"textMark":[{"_":"font_size","value":"14pt"}]},"content":[{"attrs":{},"marks":[{"_":"font_size","value":"14pt"},{"_":"font_family","value":"Times New Roman"}],"text":"Формы прогнозной финансовой отчетности и промежуточные отчеты ","type":"text"},{"attrs":{},"marks":[{"_":"font_size","value":"14pt"}],"type":"hard_break"},{"attrs":{},"marks":[{"_":"font_size","value":"14pt"},{"_":"font_family","value":"Times New Roman"}],"text":"не должны противоречить друг другу. ","type":"text"}],"type":"paragraph"},{"attrs":{"lineHeight":"1","paddingBottom":"","paddingLeft":"0pt","paddingTop":"","textAlign":"justify","textIndent":true,"textMark":[{"_":"font_size","value":"14pt"}]},"content":[{"attrs":{},"marks":[{"_":"font_size","value":"14pt"},{"_":"font_family","value":"Times New Roman"}],"text":"Финансовая модель должна отвечать принципу единообразия ","type":"text"},{"attrs":{},"marks":[{"_":"font_size","value":"14pt"}],"type":"hard_break"},{"attrs":{},"marks":[{"_":"font_size","value":"14pt"},{"_":"font_family","value":"Times New Roman"}],"text":"и последовательности в расчетах и форматировании. Формулы расчета финансовых показателей (коэффициентов), которые присутствуют ","type":"text"},{"attrs":{},"marks":[{"_":"font_size","value":"14pt"}],"type":"hard_break"},{"attrs":{},"marks":[{"_":"font_size","value":"14pt"},{"_":"font_family","value":"Times New Roman"}],"text":"в финансовой модели, должны быть неизменными для всех частей и периодов финансовой модели. ","type":"text"}],"type":"paragraph"},{"attrs":{"lineHeight":"1","paddingBottom":"","paddingLeft":"0pt","paddingTop":"","textAlign":"justify","textIndent":true,"textMark":[{"_":"font_size","value":"14pt"}]},"content":[{"attrs":{},"marks":[{"_":"font_size","value":"14pt"},{"_":"font_family","value":"Times New Roman"}],"text":"Не допускается наличие внешних файлов. ","type":"text"}],"type":"paragraph"},{"attrs":{"lineHeight":"","paddingBottom":"","paddingLeft":"","paddingTop":"","textAlign":"","textMark":[{"_":"font_size","value":"14pt"}]},"content":[{"attrs":{},"marks":[{"_":"font_size","value":"14pt"}],"text":" ","type":"text"}],"type":"paragraph"},{"attrs":{"lineHeight":"1","paddingBottom":"","paddingLeft":"0pt","paddingTop":"","textAlign":"center","textMark":[{"_":"font_size","value":"14pt"}]},"content":[{"attrs":{},"marks":[{"_":"font_size","value":"14pt"},{"_":"font_family","value":"Times New Roman"},{"_":"strong"}],"text":"2. Требования к составу исходных данных (допущений) финансовой модели","type":"text"}],"type":"paragraph"},{"attrs":{"lineHeight":"","paddingBottom":"","paddingLeft":"","paddingTop":"","textAlign":"","textMark":[{"_":"font_size","value":"14pt"}]},"content":[{"attrs":{},"marks":[{"_":"font_size","value":"14pt"}],"text":"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Roman"}],"text":"Исходные данные (допущения), на которых построены финансовые прогнозы, должны быть представлены в описании к финансовой модели ","type":"text"},{"attrs":{},"marks":[{"_":"font_size","value":"14pt"}],"type":"hard_break"},{"attrs":{},"marks":[{"_":"font_size","value":"14pt"},{"_":"font_family","value":"Times New Roman"}],"text":"или в бизнес-плане. ","type":"text"}],"type":"paragraph"},{"attrs":{"lineHeight":"1","paddingBottom":"","paddingLeft":"0pt","paddingTop":"","textAlign":"justify","textIndent":true,"textMark":[{"_":"font_size","value":"14pt"}]},"content":[{"attrs":{},"marks":[{"_":"font_size","value":"14pt"},{"_":"font_family","value":"Times New Roman"}],"text":"Список источников для исходных данных (допущений) указан в разделе ","type":"text"},{"attrs":{},"marks":[{"_":"font_size","value":"14pt"}],"type":"hard_break"},{"attrs":{},"marks":[{"_":"font_size","value":"14pt"},{"_":"font_family","value":"Times New Roman"}],"text":"4 данного Перечня. ","type":"text"}],"type":"paragraph"},{"attrs":{"lineHeight":"1","paddingBottom":"","paddingLeft":"0pt","paddingTop":"","textAlign":"justify","textIndent":true,"textMark":[{"_":"font_size","value":"14pt"}]},"content":[{"attrs":{},"marks":[{"_":"font_size","value":"14pt"},{"_":"font_family","value":"Times New Roman"}],"text":"В числе исходных данных (допущений) финансовой модели должны быть указаны следующие (в случае их применимости к проекту): ","type":"text"}],"type":"paragraph"},{"attrs":{"lineHeight":"1","paddingBottom":"","paddingLeft":"0pt","paddingTop":"","textAlign":"justify","textIndent":true,"textMark":[{"_":"font_size","value":"14pt"}]},"content":[{"attrs":{},"marks":[{"_":"font_size","value":"14pt"},{"_":"font_family","value":"Times New Roman"},{"_":"em"},{"_":"underline"}],"text":"Основные методические предположения, использованные при построении финансовых прогнозов, в том числе: ","type":"text"}],"type":"paragraph"},{"attrs":{},"content":[{"attrs":{"listMarks":[{"_":"font_size","value":"14pt"}]},"content":[{"attrs":{"lineHeight":"1","paddingBottom":"","paddingLeft":"18pt","paddingTop":"","textAlign":"justify","textMark":[{"_":"font_size","value":"14pt"}]},"content":[{"attrs":{},"marks":[{"_":"font_size","value":"14pt"},{"_":"font_family","value":"Times New Roman"}],"text":"срок жизни проекта; ","type":"text"}],"type":"paragraph"}],"type":"list_item"},{"attrs":{"listMarks":[{"_":"font_size","value":"14pt"}]},"content":[{"attrs":{"lineHeight":"1","paddingBottom":"","paddingLeft":"18pt","paddingTop":"","textAlign":"justify","textMark":[{"_":"font_size","value":"14pt"}]},"content":[{"attrs":{},"marks":[{"_":"font_size","value":"14pt"},{"_":"font_family","value":"Times New Roman"}],"text":"длительность прогнозного периода (не должен быть менее дисконтированного периода окупаемости проекта и срока возврата кредита); ","type":"text"}],"type":"paragraph"}],"type":"list_item"},{"attrs":{"listMarks":[{"_":"font_size","value":"14pt"}]},"content":[{"attrs":{"lineHeight":"1","paddingBottom":"","paddingLeft":"18pt","paddingTop":"","textAlign":"justify","textMark":[{"_":"font_size","value":"14pt"}]},"content":[{"attrs":{},"marks":[{"_":"font_size","value":"14pt"},{"_":"font_family","value":"Times New Roman"}],"text":"длительность постпрогнозного периода (если применимо) ","type":"text"}],"type":"paragraph"}],"type":"list_item"},{"attrs":{"listMarks":[{"_":"font_size","value":"14pt"}]},"content":[{"attrs":{"lineHeight":"1","paddingBottom":"","paddingLeft":"18pt","paddingTop":"","textAlign":"justify","textMark":[{"_":"font_size","value":"14pt"}]},"content":[{"attrs":{},"marks":[{"_":"font_size","value":"14pt"},{"_":"font_family","value":"Times New Roman"}],"text":"начальный момент прогнозного периода (должен быть не ранее трех календарных месяцев до дня представления Проектного предложения); ","type":"text"}],"type":"paragraph"}],"type":"list_item"},{"attrs":{"listMarks":[{"_":"font_size","value":"14pt"}]},"content":[{"attrs":{"lineHeight":"1","paddingBottom":"","paddingLeft":"18pt","paddingTop":"","textAlign":"justify","textMark":[{"_":"font_size","value":"14pt"}]},"content":[{"attrs":{},"marks":[{"_":"font_size","value":"14pt"},{"_":"font_family","value":"Times New Roman"}],"text":"шаг прогноза (минимально: для инвестиционной стадии – один квартал, в случае наличия месячной сезонности – один месяц; ","type":"text"},{"attrs":{},"marks":[{"_":"font_size","value":"14pt"}],"type":"hard_break"},{"attrs":{},"marks":[{"_":"font_size","value":"14pt"},{"_":"font_family","value":"Times New Roman"}],"text":"для операционной стадии – один год); ","type":"text"}],"type":"paragraph"}],"type":"list_item"},{"attrs":{"listMarks":[{"_":"font_size","value":"14pt"}]},"content":[{"attrs":{"lineHeight":"1","paddingBottom":"","paddingLeft":"18pt","paddingTop":"","textAlign":"justify","textMark":[{"_":"font_size","value":"14pt"}]},"content":[{"attrs":{},"marks":[{"_":"font_size","value":"14pt"},{"_":"font_family","value":"Times New Roman"}],"text":"тип денежных потоков (номинальные, реальные) и итоговая валюта денежных потоков; ","type":"text"}],"type":"paragraph"}],"type":"list_item"},{"attrs":{"listMarks":[{"_":"font_size","value":"14pt"}]},"content":[{"attrs":{"lineHeight":"1","paddingBottom":"","paddingLeft":"18pt","paddingTop":"","textAlign":"justify","textMark":[{"_":"font_size","value":"14pt"}]},"content":[{"attrs":{},"marks":[{"_":"font_size","value":"14pt"},{"_":"font_family","value":"Times New Roman"}],"text":"вид ставки дисконтирования и метод ее расчета; ","type":"text"}],"type":"paragraph"}],"type":"list_item"},{"attrs":{"listMarks":[{"_":"font_size","value":"14pt"}]},"content":[{"attrs":{"lineHeight":"1","paddingBottom":"","paddingLeft":"18pt","paddingTop":"","textAlign":"justify","textMark":[{"_":"font_size","value":"14pt"}]},"content":[{"attrs":{},"marks":[{"_":"font_size","value":"14pt"},{"_":"font_family","value":"Times New Roman"}],"text":"методика расчета заключительной стоимости (с указанием ожидаемого темпа роста в постпрогнозный период); ","type":"text"}],"type":"paragraph"}],"type":"list_item"},{"attrs":{"listMarks":[{"_":"font_size","value":"14pt"}]},"content":[{"attrs":{"lineHeight":"1","paddingBottom":"","paddingLeft":"18pt","paddingTop":"","textAlign":"justify","textMark":[{"_":"font_size","value":"14pt"}]},"content":[{"attrs":{},"marks":[{"_":"font_size","value":"14pt"},{"_":"font_family","value":"Times New Roman"}],"text":"иные ключевые методические предположения. ","type":"text"}],"type":"paragraph"}],"type":"list_item"}],"type":"bullet_list"},{"attrs":{"lineHeight":"1","paddingBottom":"","paddingLeft":"0pt","paddingTop":"","textAlign":"justify","textIndent":true,"textMark":[{"_":"font_size","value":"14pt"}]},"content":[{"attrs":{},"marks":[{"_":"font_size","value":"14pt"},{"_":"font_family","value":"Times New Roman"},{"_":"em"},{"_":"underline"}],"text":"Основные предположения, связанные с рассматриваемым проектом, использованные при построении финансовых прогнозов, в том числе:","type":"text"}],"type":"paragraph"},{"attrs":{},"content":[{"attrs":{"listMarks":[{"_":"font_size","value":"14pt"}]},"content":[{"attrs":{"lineHeight":"1","paddingBottom":"","paddingLeft":"18pt","paddingTop":"","textAlign":"justify","textMark":[{"_":"font_size","value":"14pt"}]},"content":[{"attrs":{},"marks":[{"_":"font_size","value":"14pt"},{"_":"font_family","value":"Times New Roman"}],"text":"макроэкономические данные (прогнозы инфляции, обменных курсов, роста реальной заработной платы и т.п.); ","type":"text"}],"type":"paragraph"}],"type":"list_item"},{"attrs":{"listMarks":[{"_":"font_size","value":"14pt"}]},"content":[{"attrs":{"lineHeight":"1","paddingBottom":"","paddingLeft":"18pt","paddingTop":"","textAlign":"justify","textMark":[{"_":"font_size","value":"14pt"}]},"content":[{"attrs":{},"marks":[{"_":"font_size","value":"14pt"},{"_":"font_family","value":"Times New Roman"}],"text":"прогноз капитальных вложений; ","type":"text"}],"type":"paragraph"}],"type":"list_item"},{"attrs":{"listMarks":[{"_":"font_size","value":"14pt"}]},"content":[{"attrs":{"lineHeight":"1","paddingBottom":"","paddingLeft":"18pt","paddingTop":"","textAlign":"justify","textMark":[{"_":"font_size","value":"14pt"}]},"content":[{"attrs":{},"marks":[{"_":"font_size","value":"14pt"},{"_":"font_family","value":"Times New Roman"}],"text":"прогноз объема продаж и объема производства (иных количественных факторов, определяющих выручку); ","type":"text"}],"type":"paragraph"}],"type":"list_item"},{"attrs":{"listMarks":[{"_":"font_size","value":"14pt"}]},"content":[{"attrs":{"lineHeight":"1","paddingBottom":"","paddingLeft":"18pt","paddingTop":"","textAlign":"justify","textMark":[{"_":"font_size","value":"14pt"}]},"content":[{"attrs":{},"marks":[{"_":"font_size","value":"14pt"},{"_":"font_family","value":"Times New Roman"}],"text":"прогноз цен/тарифов на готовую продукцию/услуги; ","type":"text"}],"type":"paragraph"}],"type":"list_item"},{"attrs":{"listMarks":[{"_":"font_size","value":"14pt"}]},"content":[{"attrs":{"lineHeight":"1","paddingBottom":"","paddingLeft":"18pt","paddingTop":"","textAlign":"justify","textMark":[{"_":"font_size","value":"14pt"}]},"content":[{"attrs":{},"marks":[{"_":"font_size","value":"14pt"},{"_":"font_family","value":"Times New Roman"}],"text":"нормы расхода ресурсов на единицу выпуска; ","type":"text"}],"type":"paragraph"}],"type":"list_item"},{"attrs":{"listMarks":[{"_":"font_size","value":"14pt"}]},"content":[{"attrs":{"lineHeight":"1","paddingBottom":"","paddingLeft":"18pt","paddingTop":"","textAlign":"justify","textMark":[{"_":"font_size","value":"14pt"}]},"content":[{"attrs":{},"marks":[{"_":"font_size","value":"14pt"},{"_":"font_family","value":"Times New Roman"}],"text":"прогноз цен на основное сырье и материалы и других затрат, составляющих значительную долю в себестоимости, прогноз иных переменных затрат; ","type":"text"}],"type":"paragraph"}],"type":"list_item"},{"attrs":{"listMarks":[{"_":"font_size","value":"14pt"}]},"content":[{"attrs":{"lineHeight":"1","paddingBottom":"","paddingLeft":"18pt","paddingTop":"","textAlign":"justify","textMark":[{"_":"font_size","value":"14pt"}]},"content":[{"attrs":{},"marks":[{"_":"font_size","value":"14pt"},{"_":"font_family","value":"Times New Roman"}],"text":"прогноз затрат на персонал (штатное расписание или бюджет затрат ","type":"text"},{"attrs":{},"marks":[{"_":"font_size","value":"14pt"}],"type":"hard_break"},{"attrs":{},"marks":[{"_":"font_size","value":"14pt"},{"_":"font_family","value":"Times New Roman"}],"text":"на персонал с учетом планируемых индексаций оплаты труда и увеличения штата); ","type":"text"}],"type":"paragraph"}],"type":"list_item"},{"attrs":{"listMarks":[{"_":"font_size","value":"14pt"}]},"content":[{"attrs":{"lineHeight":"1","paddingBottom":"","paddingLeft":"18pt","paddingTop":"","textAlign":"justify","textMark":[{"_":"font_size","value":"14pt"}]},"content":[{"attrs":{},"marks":[{"_":"font_size","value":"14pt"},{"_":"font_family","value":"Times New Roman"}],"text":"прогноз условно постоянных затрат; ","type":"text"}],"type":"paragraph"}],"type":"list_item"},{"attrs":{"listMarks":[{"_":"font_size","value":"14pt"}]},"content":[{"attrs":{"lineHeight":"1","paddingBottom":"","paddingLeft":"18pt","paddingTop":"","textAlign":"justify","textMark":[{"_":"font_size","value":"14pt"}]},"content":[{"attrs":{},"marks":[{"_":"font_size","value":"14pt"},{"_":"font_family","value":"Times New Roman"}],"text":"условия расчетов с контрагентами (отсрочки и предоплаты по расчетам с поставщиками и подрядчиками, покупателями, бюджетом, персоналом) ","type":"text"},{"attrs":{},"marks":[{"_":"font_size","value":"14pt"}],"type":"hard_break"},{"attrs":{},"marks":[{"_":"font_size","value":"14pt"},{"_":"font_family","value":"Times New Roman"}],"text":"и / или нормативы оборачиваемости; ","type":"text"}],"type":"paragraph"}],"type":"list_item"},{"attrs":{"listMarks":[{"_":"font_size","value":"14pt"}]},"content":[{"attrs":{"lineHeight":"1","paddingBottom":"","paddingLeft":"18pt","paddingTop":"","textAlign":"justify","textMark":[{"_":"font_size","value":"14pt"}]},"content":[{"attrs":{},"marks":[{"_":"font_size","value":"14pt"},{"_":"font_family","value":"Times New Roman"}],"text":"налоговые предпосылки: информация о налогах и иных обязательных платежах (пошлинах, взносах по обязательному страхованию и т.п.), которые подлежат уплате в соответствии с действующим законодательством страны, ","type":"text"},{"attrs":{},"marks":[{"_":"font_size","value":"14pt"}],"type":"hard_break"},{"attrs":{},"marks":[{"_":"font_size","value":"14pt"},{"_":"font_family","value":"Times New Roman"}],"text":"на территории которой будет реализован проект (налог, база, ставка, порядок уплаты), с учетом ожидаемых изменений в налоговом законодательстве; ","type":"text"}],"type":"paragraph"}],"type":"list_item"},{"attrs":{"listMarks":[{"_":"font_size","value":"14pt"}]},"content":[{"attrs":{"lineHeight":"1","paddingBottom":"","paddingLeft":"18pt","paddingTop":"","textAlign":"justify","textMark":[{"_":"font_size","value":"14pt"}]},"content":[{"attrs":{},"marks":[{"_":"font_size","value":"14pt"},{"_":"font_family","value":"Times New Roman"}],"text":"предпосылки по учетной политике (политика по амортизации, капитализации затрат, созданию резервов, признанию выручки); ","type":"text"}],"type":"paragraph"}],"type":"list_item"},{"attrs":{"listMarks":[{"_":"font_size","value":"14pt"}]},"content":[{"attrs":{"lineHeight":"1","paddingBottom":"","paddingLeft":"18pt","paddingTop":"","textAlign":"justify","textMark":[{"_":"font_size","value":"14pt"}]},"content":[{"attrs":{},"marks":[{"_":"font_size","value":"14pt"},{"_":"font_family","value":"Times New Roman"}],"text":"прогнозная структура финансирования, условия по заемному финансированию (процентные ставки, график получения и обслуживания долга); ","type":"text"}],"type":"paragraph"}],"type":"list_item"},{"attrs":{"listMarks":[{"_":"font_size","value":"14pt"}]},"content":[{"attrs":{"lineHeight":"1","paddingBottom":"","paddingLeft":"18pt","paddingTop":"","textAlign":"justify","textMark":[{"_":"font_size","value":"14pt"}]},"content":[{"attrs":{},"marks":[{"_":"font_size","value":"14pt"},{"_":"font_family","value":"Times New Roman"}],"text":"данные фондового рынка для расчета ставки дисконтирования; ","type":"text"}],"type":"paragraph"}],"type":"list_item"},{"attrs":{"listMarks":[{"_":"font_size","value":"14pt"}]},"content":[{"attrs":{"lineHeight":"1","paddingBottom":"","paddingLeft":"18pt","paddingTop":"","textAlign":"justify","textMark":[{"_":"font_size","value":"14pt"}]},"content":[{"attrs":{},"marks":[{"_":"font_size","value":"14pt"},{"_":"font_family","value":"Times New Roman"}],"text":"иные исходные данные и предпосылки, важные для данной отрасли ","type":"text"},{"attrs":{},"marks":[{"_":"font_size","value":"14pt"}],"type":"hard_break"},{"attrs":{},"marks":[{"_":"font_size","value":"14pt"},{"_":"font_family","value":"Times New Roman"}],"text":"и типа проекта. ","type":"text"}],"type":"paragraph"}],"type":"list_item"}],"type":"bullet_list"},{"attrs":{"lineHeight":"","paddingBottom":"","paddingLeft":"","paddingTop":"","textAlign":"","textMark":[{"_":"font_size","value":"14pt"}]},"content":[{"attrs":{},"marks":[{"_":"font_size","value":"14pt"}],"text":" ","type":"text"}],"type":"paragraph"},{"attrs":{"order":1},"content":[{"attrs":{"listMarks":[{"_":"font_size","value":"14pt"}]},"content":[{"attrs":{"lineHeight":"1","paddingBottom":"","paddingLeft":"18pt","paddingTop":"","textAlign":"center","textMark":[{"_":"font_size","value":"14pt"}]},"content":[{"attrs":{},"marks":[{"_":"font_size","value":"14pt"},{"_":"font_family","value":"Times New Roman"},{"_":"strong"}],"text":"Требования к составу результатов финансовых прогнозов, формы прогнозной финансовой отчетности","type":"text"}],"type":"paragraph"}],"type":"list_item"}],"type":"ordered_list"},{"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Roman"}],"text":"Прогнозная финансовая отчетность составляется для Получателя средств и носит характер управленческой отчетности, в частности: ","type":"text"}],"type":"paragraph"},{"attrs":{},"content":[{"attrs":{"listMarks":[{"_":"font_size","value":"14pt"}]},"content":[{"attrs":{"lineHeight":"1","paddingBottom":"","paddingLeft":"18pt","paddingTop":"","textAlign":"justify","textMark":[{"_":"font_size","value":"14pt"}]},"content":[{"attrs":{},"marks":[{"_":"font_size","value":"14pt"},{"_":"font_family","value":"Times New Roman"}],"text":"некоторые статьи, величина которых является относительно незначительной в масштабах проекта, могут быть объединены; ","type":"text"}],"type":"paragraph"}],"type":"list_item"},{"attrs":{"listMarks":[{"_":"font_size","value":"14pt"}]},"content":[{"attrs":{"lineHeight":"1","paddingBottom":"","paddingLeft":"18pt","paddingTop":"","textAlign":"justify","textMark":[{"_":"font_size","value":"14pt"}]},"content":[{"attrs":{},"marks":[{"_":"font_size","value":"14pt"},{"_":"font_family","value":"Times New Roman"}],"text":"амортизация должна быть выделена отдельной строкой и не должна вычитаться из выручки при расчете валовой прибыли. ","type":"text"}],"type":"paragraph"}],"type":"list_item"}],"type":"bullet_list"},{"attrs":{"lineHeight":"1","paddingBottom":"","paddingLeft":"0pt","paddingTop":"","textAlign":"justify","textIndent":true,"textMark":[{"_":"font_size","value":"14pt"}]},"content":[{"attrs":{},"marks":[{"_":"font_size","value":"14pt"},{"_":"font_family","value":"Times New Roman"}],"text":"При необходимости должны быть представлены следующие формы прогнозной финансовой отчетности: прогнозный отчет о движении денежных средств, прогнозный отчет о прибылях и убытках, прогнозный баланс. ","type":"text"}],"type":"paragraph"},{"attrs":{"lineHeight":"1","paddingBottom":"","paddingLeft":"0pt","paddingTop":"","textAlign":"justify","textIndent":true,"textMark":[{"_":"font_size","value":"14pt"}]},"content":[{"attrs":{},"marks":[{"_":"font_size","value":"14pt"},{"_":"font_family","value":"Times New Roman"}],"text":"Прогнозный отчет о прибылях и убытках должен содержать, в том числе, следующие финансовые показатели: выручка, валовая прибыль, валовая рентабельность, EBITDA (операционная прибыль до вычета амортизации, процентов и налогов), EBIT (операционная прибыль до вычета процентов ","type":"text"},{"attrs":{},"marks":[{"_":"font_size","value":"14pt"}],"type":"hard_break"},{"attrs":{},"marks":[{"_":"font_size","value":"14pt"},{"_":"font_family","value":"Times New Roman"}],"text":"и налогов), чистая прибыль, чистая рентабельность. Если в силу отраслевых или иных особенностей проекта данные показатели не представлены, следует указать факт и причины их отсутствия в описании к финансовой модели.","type":"text"}],"type":"paragraph"},{"attrs":{"lineHeight":"1","paddingBottom":"","paddingLeft":"0pt","paddingTop":"","textAlign":"justify","textIndent":true,"textMark":[{"_":"font_size","value":"14pt"}]},"content":[{"attrs":{},"marks":[{"_":"font_size","value":"14pt"},{"_":"font_family","value":"Times New Roman"}],"text":"Прогнозный отчет о движении денежных средств должен включать денежные потоки от операционной, инвестиционной и финансовой деятельности. Денежные потоки, связанные с выплатой и получением процентов и дивидендов, должны быть раскрыты в отдельных строках; ","type":"text"}],"type":"paragraph"},{"attrs":{"lineHeight":"1","paddingBottom":"","paddingLeft":"0pt","paddingTop":"","textAlign":"justify","textIndent":true,"textMark":[{"_":"font_size","value":"14pt"}]},"content":[{"attrs":{},"marks":[{"_":"font_size","value":"14pt"},{"_":"font_family","value":"Times New Roman"}],"text":"В случае предполагаемого долгового финансирования, справочно должны быть приведены свободные денежные потоки до обслуживания долга (CFADS). ","type":"text"}],"type":"paragraph"},{"attrs":{"lineHeight":"1","paddingBottom":"","paddingLeft":"0pt","paddingTop":"","textAlign":"justify","textIndent":true,"textMark":[{"_":"font_size","value":"14pt"}]},"content":[{"attrs":{},"marks":[{"_":"font_size","value":"14pt"},{"_":"font_family","value":"Times New Roman"}],"text":"Также могут быть предоставлены иные отчеты. ","type":"text"}],"type":"paragraph"},{"attrs":{"lineHeight":"1","paddingBottom":"","paddingLeft":"0pt","paddingTop":"","textAlign":"justify","textIndent":true,"textMark":[{"_":"font_size","value":"14pt"}]},"content":[{"attrs":{},"marks":[{"_":"font_size","value":"14pt"},{"_":"font_family","value":"Times New Roman"},{"_":"strong"}],"text":"Финансовые показатели (коэффициенты) ","type":"text"}],"type":"paragraph"},{"attrs":{"lineHeight":"1","paddingBottom":"","paddingLeft":"0pt","paddingTop":"","textAlign":"justify","textIndent":true,"textMark":[{"_":"font_size","value":"14pt"}]},"content":[{"attrs":{},"marks":[{"_":"font_size","value":"14pt"},{"_":"font_family","value":"Times New Roman"}],"text":"Формулы расчета всех финансовых показателей (коэффициентов), которые рассчитываются в финансовой модели, должны быть приведены ","type":"text"},{"attrs":{},"marks":[{"_":"font_size","value":"14pt"}],"type":"hard_break"},{"attrs":{},"marks":[{"_":"font_size","value":"14pt"},{"_":"font_family","value":"Times New Roman"}],"text":"в описании к финансовой модели и / или в бизнес-плане. Факт и причина отступления от данного требования должны быть оговорены в описании ","type":"text"},{"attrs":{},"marks":[{"_":"font_size","value":"14pt"}],"type":"hard_break"},{"attrs":{},"marks":[{"_":"font_size","value":"14pt"},{"_":"font_family","value":"Times New Roman"}],"text":"к финансовой модели. ","type":"text"}],"type":"paragraph"},{"attrs":{"lineHeight":"1","paddingBottom":"","paddingLeft":"0pt","paddingTop":"","textAlign":"justify","textIndent":true,"textMark":[{"_":"font_size","value":"14pt"}]},"content":[{"attrs":{},"marks":[{"_":"font_size","value":"14pt"},{"_":"font_family","value":"Times New Roman"}],"text":"А. Показатели инвестиционной привлекательности ","type":"text"}],"type":"paragraph"},{"attrs":{"lineHeight":"1","paddingBottom":"","paddingLeft":"0pt","paddingTop":"","textAlign":"justify","textIndent":true,"textMark":[{"_":"font_size","value":"14pt"}]},"content":[{"attrs":{},"marks":[{"_":"font_size","value":"14pt"},{"_":"font_family","value":"Times New Roman"}],"text":"Финансовые показатели (коэффициенты), указанные ниже, должны быть приведены в финансовой модели при необходимости:","type":"text"}],"type":"paragraph"},{"attrs":{},"content":[{"attrs":{"listMarks":[{"_":"font_size","value":"14pt"}]},"content":[{"attrs":{"lineHeight":"1","paddingBottom":"","paddingLeft":"18pt","paddingTop":"","textAlign":"justify","textMark":[{"_":"font_size","value":"14pt"}]},"content":[{"attrs":{},"marks":[{"_":"font_size","value":"14pt"},{"_":"font_family","value":"Times New Roman"}],"text":"показатели инвестиционной привлекательности по проекту в целом –  чистая приведенная стоимость проекта (NPV), внутренняя норма доходности (IRR), период окупаемости проекта (PBP), дисконтированный период окупаемости проекта (DPBP); ","type":"text"}],"type":"paragraph"}],"type":"list_item"},{"attrs":{"listMarks":[{"_":"font_size","value":"14pt"}]},"content":[{"attrs":{"lineHeight":"1","paddingBottom":"","paddingLeft":"18pt","paddingTop":"","textAlign":"justify","textMark":[{"_":"font_size","value":"14pt"}]},"content":[{"attrs":{},"marks":[{"_":"font_size","value":"14pt"},{"_":"font_family","value":"Times New Roman"}],"text":"показатели инвестиционной привлекательности для отдельных Участников проекта: для собственников (указывается в случае, если рассматривается возможность предоставления Банком долевого финансирования по проекту) – внутренняя норма доходности ","type":"text"},{"attrs":{},"marks":[{"_":"font_size","value":"14pt"}],"type":"hard_break"},{"attrs":{},"marks":[{"_":"font_size","value":"14pt"},{"_":"font_family","value":"Times New Roman"}],"text":"ля собственников (IRR on equity); для иных Участников проекта (указывается по усмотрению Инициатора проекта).","type":"text"}],"type":"paragraph"}],"type":"list_item"}],"type":"bullet_list"},{"attrs":{"lineHeight":"1","paddingBottom":"","paddingLeft":"0pt","paddingTop":"","textAlign":"justify","textIndent":true,"textMark":[{"_":"font_size","value":"14pt"}]},"content":[{"attrs":{},"marks":[{"_":"font_size","value":"14pt"},{"_":"font_family","value":"Times New Roman"}],"text":"Также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 ","type":"text"}],"type":"paragraph"},{"attrs":{"lineHeight":"1","paddingBottom":"","paddingLeft":"0pt","paddingTop":"","textAlign":"justify","textIndent":true,"textMark":[{"_":"font_size","value":"14pt"}]},"content":[{"attrs":{},"marks":[{"_":"font_size","value":"14pt"},{"_":"font_family","value":"Times New Roman"}],"text":"Б. Показатели финансовой устойчивости ","type":"text"}],"type":"paragraph"},{"attrs":{"lineHeight":"1","paddingBottom":"","paddingLeft":"0pt","paddingTop":"","textAlign":"justify","textIndent":true,"textMark":[{"_":"font_size","value":"14pt"}]},"content":[{"attrs":{},"marks":[{"_":"font_size","value":"14pt"},{"_":"font_family","value":"Times New Roman"}],"text":"Финансовые показатели (коэффициенты), указанные ниже, рассчитываются для Получателя средств (на основе прогнозной финансовой отчетности) и указываются в случае, если рассматривается возможность предоставления Банком долгового финансирования по проекту:","type":"text"}],"type":"paragraph"},{"attrs":{},"content":[{"attrs":{"listMarks":[{"_":"font_size","value":"14pt"}]},"content":[{"attrs":{"lineHeight":"1","paddingBottom":"","paddingLeft":"18pt","paddingTop":"","textAlign":"justify","textMark":[{"_":"font_size","value":"14pt"}]},"content":[{"attrs":{},"marks":[{"_":"font_size","value":"14pt"},{"_":"font_family","value":"Times New Roman"}],"text":"показатели обслуживания (покрытия) долга: коэффициент покрытия процентных выплат (Interest coverage ratio, EBIT/проценты), коэффициент покрытия выплат по обслуживанию долга операционными денежными потоками (Debt Service Coverage Ratio, DSCR), коэффициент покрытия долга денежными потоками, доступными для обслуживания долга, в период ","type":"text"},{"attrs":{},"marks":[{"_":"font_size","value":"14pt"}],"type":"hard_break"},{"attrs":{},"marks":[{"_":"font_size","value":"14pt"},{"_":"font_family","value":"Times New Roman"}],"text":"до погашения долга (Loan Life Coverage Ratio, LLCR); ","type":"text"}],"type":"paragraph"}],"type":"list_item"},{"attrs":{"listMarks":[{"_":"font_size","value":"14pt"}]},"content":[{"attrs":{"lineHeight":"1","paddingBottom":"","paddingLeft":"18pt","paddingTop":"","textAlign":"justify","textMark":[{"_":"font_size","value":"14pt"}]},"content":[{"attrs":{},"marks":[{"_":"font_size","value":"14pt"},{"_":"font_family","value":"Times New Roman"}],"text":"показатели долговой нагрузки: Долг/Собственный капитал;","type":"text"}],"type":"paragraph"}],"type":"list_item"},{"attrs":{"listMarks":[{"_":"font_size","value":"14pt"}]},"content":[{"attrs":{"lineHeight":"1","paddingBottom":"","paddingLeft":"18pt","paddingTop":"","textAlign":"justify","textMark":[{"_":"font_size","value":"14pt"}]},"content":[{"attrs":{},"marks":[{"_":"font_size","value":"14pt"},{"_":"font_family","value":"Times New Roman"}],"text":"долг/EBITDA, Долг/CFADS.","type":"text"}],"type":"paragraph"}],"type":"list_item"}],"type":"bullet_list"},{"attrs":{"lineHeight":"1","paddingBottom":"","paddingLeft":"0pt","paddingTop":"","textAlign":"justify","textIndent":true,"textMark":[{"_":"font_size","value":"14pt"}]},"content":[{"attrs":{},"marks":[{"_":"font_size","value":"14pt"},{"_":"font_family","value":"Times New Roman"}],"text":"Также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 В частности, к показателям покрытия долга также могут быть отнесены: PLCR (Project Life Coverage Ratio), RLCR (Reserve Life Coverage Ratio). ","type":"text"}],"type":"paragraph"},{"attrs":{"lineHeight":"1","paddingBottom":"","paddingLeft":"0pt","paddingTop":"","textAlign":"justify","textIndent":true,"textMark":[{"_":"font_size","value":"14pt"}]},"content":[{"attrs":{},"marks":[{"_":"font_size","value":"14pt"},{"_":"font_family","value":"Times New Roman"}],"text":"В. Показатели ликвидности (платежеспособности) ","type":"text"}],"type":"paragraph"},{"attrs":{"lineHeight":"1","paddingBottom":"","paddingLeft":"0pt","paddingTop":"","textAlign":"justify","textIndent":true,"textMark":[{"_":"font_size","value":"14pt"}]},"content":[{"attrs":{},"marks":[{"_":"font_size","value":"14pt"},{"_":"font_family","value":"Times New Roman"}],"text":"Финансовый показатель (коэффициент), указанный ниже, должен быть приведен при необходимости (рассчитывается для получателя средств ","type":"text"},{"attrs":{},"marks":[{"_":"font_size","value":"14pt"}],"type":"hard_break"},{"attrs":{},"marks":[{"_":"font_size","value":"14pt"},{"_":"font_family","value":"Times New Roman"}],"text":"на основе прогнозной финансовой отчетности): ","type":"text"}],"type":"paragraph"},{"attrs":{},"content":[{"attrs":{"listMarks":[{"_":"font_size","value":"14pt"}]},"content":[{"attrs":{"lineHeight":"1","paddingBottom":"","paddingLeft":"18pt","paddingTop":"","textAlign":"justify","textMark":[{"_":"font_size","value":"14pt"}]},"content":[{"attrs":{},"marks":[{"_":"font_size","value":"14pt"},{"_":"font_family","value":"Times New Roman"}],"text":"показатель текущей ликвидности (current ratio), быстрой ликвидности (quick ratio). ","type":"text"}],"type":"paragraph"}],"type":"list_item"}],"type":"bullet_list"},{"attrs":{"lineHeight":"1","paddingBottom":"","paddingLeft":"0pt","paddingTop":"","textAlign":"justify","textIndent":true,"textMark":[{"_":"font_size","value":"14pt"}]},"content":[{"attrs":{},"marks":[{"_":"font_size","value":"14pt"},{"_":"font_family","value":"Times New Roman"}],"text":"Также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type":"text"}],"type":"paragraph"},{"attrs":{"lineHeight":"1","paddingBottom":"","paddingLeft":"0pt","paddingTop":"","textAlign":"justify","textIndent":true,"textMark":[{"_":"font_size","value":"14pt"}]},"content":[{"attrs":{},"marks":[{"_":"font_size","value":"14pt"},{"_":"font_family","value":"Times New Roman"}],"text":"Г. Иные финансовые показатели (коэффициенты). ","type":"text"}],"type":"paragraph"},{"attrs":{"lineHeight":"1","paddingBottom":"","paddingLeft":"0pt","paddingTop":"","textAlign":"justify","textIndent":true,"textMark":[{"_":"font_size","value":"14pt"}]},"content":[{"attrs":{},"marks":[{"_":"font_size","value":"14pt"},{"_":"font_family","value":"Times New Roman"}],"text":"Финансовые показатели (коэффициенты), указанные ниже, приводятся ","type":"text"},{"attrs":{},"marks":[{"_":"font_size","value":"14pt"}],"type":"hard_break"},{"attrs":{},"marks":[{"_":"font_size","value":"14pt"},{"_":"font_family","value":"Times New Roman"}],"text":"по усмотрению составителей финансовой модели (рассчитываются ","type":"text"},{"attrs":{},"marks":[{"_":"font_size","value":"14pt"}],"type":"hard_break"},{"attrs":{},"marks":[{"_":"font_size","value":"14pt"},{"_":"font_family","value":"Times New Roman"}],"text":"для Получателя средств на основе прогнозной финансовой отчетности): ","type":"text"}],"type":"paragraph"},{"attrs":{},"content":[{"attrs":{"listMarks":[{"_":"font_size","value":"14pt"}]},"content":[{"attrs":{"lineHeight":"1","paddingBottom":"","paddingLeft":"18pt","paddingTop":"","textAlign":"justify","textMark":[{"_":"font_size","value":"14pt"}]},"content":[{"attrs":{},"marks":[{"_":"font_size","value":"14pt"},{"_":"font_family","value":"Times New Roman"}],"text":"показатели рентабельности: рентабельность активов (ROA), рентабельность продаж (ROS), рентабельность собственного капитала (ROE), рентабельность инвестиций (капитала) (ROCE); ","type":"text"}],"type":"paragraph"}],"type":"list_item"},{"attrs":{"listMarks":[{"_":"font_size","value":"14pt"}]},"content":[{"attrs":{"lineHeight":"1","paddingBottom":"","paddingLeft":"18pt","paddingTop":"","textAlign":"justify","textMark":[{"_":"font_size","value":"14pt"}]},"content":[{"attrs":{},"marks":[{"_":"font_size","value":"14pt"},{"_":"font_family","value":"Times New Roman"}],"text":"показатели оборачиваемости: оборачиваемость дебиторской задолженности, оборачиваемость кредиторской задолженности, оборачиваемость запасов. ","type":"text"}],"type":"paragraph"}],"type":"list_item"}],"type":"bullet_list"},{"attrs":{"lineHeight":"1","paddingBottom":"","paddingLeft":"0pt","paddingTop":"","textAlign":"justify","textMark":[{"_":"font_size","value":"14pt"}]},"content":[{"attrs":{},"marks":[{"_":"font_size","value":"14pt"},{"_":"font_family","value":"Times New Roman"}],"text":"    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 ","type":"text"}],"type":"paragraph"},{"attrs":{"lineHeight":"","paddingBottom":"","paddingLeft":"","paddingTop":"","textAlign":"","textMark":[{"_":"font_size","value":"14pt"}]},"content":[{"attrs":{},"marks":[{"_":"font_size","value":"14pt"}],"text":" ","type":"text"}],"type":"paragraph"},{"attrs":{"lineHeight":"1","paddingBottom":"","paddingLeft":"0pt","paddingTop":"","textAlign":"center","textMark":[{"_":"font_size","value":"14pt"}]},"content":[{"attrs":{},"marks":[{"_":"font_size","value":"14pt"},{"_":"font_family","value":"Times New Roman"},{"_":"strong"}],"text":"4. Методические указания по составлению финансовых прогнозов","type":"text"}],"type":"paragraph"},{"attrs":{"lineHeight":"1","paddingBottom":"","paddingLeft":"0pt","paddingTop":"","textAlign":"justify","textIndent":true,"textMark":[{"_":"font_size","value":"14pt"}]},"content":[{"attrs":{},"marks":[{"_":"font_size","value":"14pt"},{"_":"font_family","value":"Times New Roman"}],"text":"Общие требования: ","type":"text"}],"type":"paragraph"},{"attrs":{"lineHeight":"1","paddingBottom":"","paddingLeft":"0pt","paddingTop":"","textAlign":"justify","textIndent":true,"textMark":[{"_":"font_size","value":"14pt"}]},"content":[{"attrs":{},"marks":[{"_":"font_size","value":"14pt"},{"_":"font_family","value":"Times New Roman"}],"text":"Прогнозируются только денежные потоки, которые будут поступать ","type":"text"},{"attrs":{},"marks":[{"_":"font_size","value":"14pt"}],"type":"hard_break"},{"attrs":{},"marks":[{"_":"font_size","value":"14pt"},{"_":"font_family","value":"Times New Roman"}],"text":"в распоряжение (расходоваться) Получателя(ем) средств.","type":"text"}],"type":"paragraph"},{"attrs":{"lineHeight":"1","paddingBottom":"","paddingLeft":"0pt","paddingTop":"","textAlign":"justify","textIndent":true,"textMark":[{"_":"font_size","value":"14pt"}]},"content":[{"attrs":{},"marks":[{"_":"font_size","value":"14pt"},{"_":"font_family","value":"Times New Roman"}],"text":"Затраты, связанные с проектом, осуществленные до начального момента прогнозного периода, не должны учитываться в прогнозных финансовых потоках, но могут быть учтены в виде активов на балансе Получателя средств; ","type":"text"}],"type":"paragraph"},{"attrs":{"lineHeight":"1","paddingBottom":"","paddingLeft":"0pt","paddingTop":"","textAlign":"justify","textIndent":true,"textMark":[{"_":"font_size","value":"14pt"}]},"content":[{"attrs":{},"marks":[{"_":"font_size","value":"14pt"},{"_":"font_family","value":"Times New Roman"}],"text":"График привлечения финансирования должен быть привязан к графику инвестиций, денежные потоки по финансовой деятельности должны прогнозироваться на основе денежных потоков от операционной ","type":"text"},{"attrs":{},"marks":[{"_":"font_size","value":"14pt"}],"type":"hard_break"},{"attrs":{},"marks":[{"_":"font_size","value":"14pt"},{"_":"font_family","value":"Times New Roman"}],"text":"и инвестиционной деятельности.","type":"text"}],"type":"paragraph"},{"attrs":{"lineHeight":"1","paddingBottom":"","paddingLeft":"0pt","paddingTop":"","textAlign":"justify","textIndent":true,"textMark":[{"_":"font_size","value":"14pt"}]},"content":[{"attrs":{},"marks":[{"_":"font_size","value":"14pt"},{"_":"font_family","value":"Times New Roman"}],"text":"По окончании каждого прогнозного шага сумма остатка денежных средств на расчетных и резервных счетах не могут принимать отрицательные значения (при возникновении в каком-либо периоде недостатка денежных средств должно прогнозироваться привлечение дополнительных источников финансирования). ","type":"text"}],"type":"paragraph"},{"attrs":{"lineHeight":"1","paddingBottom":"","paddingLeft":"0pt","paddingTop":"","textAlign":"justify","textIndent":true,"textMark":[{"_":"font_size","value":"14pt"}]},"content":[{"attrs":{},"marks":[{"_":"font_size","value":"14pt"},{"_":"font_family","value":"Times New Roman"}],"text":"При привлечении заемного финансирования должны прогнозироваться платежи по обслуживанию долга (с учетом возможной отсрочки выплаты начисленных процентов). ","type":"text"}],"type":"paragraph"},{"attrs":{"lineHeight":"1","paddingBottom":"","paddingLeft":"0pt","paddingTop":"","textAlign":"justify","textIndent":true,"textMark":[{"_":"font_size","value":"14pt"}]},"content":[{"attrs":{},"marks":[{"_":"font_size","value":"14pt"},{"_":"font_family","value":"Times New Roman"}],"text":"Необходимо прогнозировать денежные потоки в тех валютах, ","type":"text"},{"attrs":{},"marks":[{"_":"font_size","value":"14pt"}],"type":"hard_break"},{"attrs":{},"marks":[{"_":"font_size","value":"14pt"},{"_":"font_family","value":"Times New Roman"}],"text":"в которых они реализуются (производятся поступления и платежи), и вслед ","type":"text"},{"attrs":{},"marks":[{"_":"font_size","value":"14pt"}],"type":"hard_break"},{"attrs":{},"marks":[{"_":"font_size","value":"14pt"},{"_":"font_family","value":"Times New Roman"}],"text":"за этим приводить их к единой, итоговой валюте. В качестве итоговой валюты следует выбирать валюту, в которой поступает большая часть денежных потоков. ","type":"text"}],"type":"paragraph"},{"attrs":{"lineHeight":"1","paddingBottom":"","paddingLeft":"0pt","paddingTop":"","textAlign":"justify","textIndent":true,"textMark":[{"_":"font_size","value":"14pt"}]},"content":[{"attrs":{},"marks":[{"_":"font_size","value":"14pt"},{"_":"font_family","value":"Times New Roman"}],"text":"Информацию о движении денежных средств, обусловленном получением и выплатой процентов и дивидендов, следует раскрывать отдельными строками.","type":"text"}],"type":"paragraph"},{"attrs":{"lineHeight":"1","paddingBottom":"","paddingLeft":"0pt","paddingTop":"","textAlign":"justify","textIndent":true,"textMark":[{"_":"font_size","value":"14pt"}]},"content":[{"attrs":{},"marks":[{"_":"font_size","value":"14pt"},{"_":"font_family","value":"Times New Roman"}],"text":"Если в конце срока жизни проекта предполагается ликвидация Получателя средств или объекта инвестирования, или передача прав на извлечение доходов ","type":"text"},{"attrs":{},"marks":[{"_":"font_size","value":"14pt"}],"type":"hard_break"},{"attrs":{},"marks":[{"_":"font_size","value":"14pt"},{"_":"font_family","value":"Times New Roman"}],"text":"и несение затрат от эксплуатации объекта инвестирования иному лицу, ","type":"text"},{"attrs":{},"marks":[{"_":"font_size","value":"14pt"}],"type":"hard_break"},{"attrs":{},"marks":[{"_":"font_size","value":"14pt"},{"_":"font_family","value":"Times New Roman"}],"text":"в денежных потоках Получателя средств должны быть учтены затраты и доходы, связанные с указанной ликвидацией или передачей прав (в том числе, ","type":"text"},{"attrs":{},"marks":[{"_":"font_size","value":"14pt"}],"type":"hard_break"},{"attrs":{},"marks":[{"_":"font_size","value":"14pt"},{"_":"font_family","value":"Times New Roman"}],"text":"в соответствии с требованиями законодательства об экологии и недропользовании, а также трудового законодательства). ","type":"text"}],"type":"paragraph"},{"attrs":{"lineHeight":"1","paddingBottom":"","paddingLeft":"0pt","paddingTop":"","textAlign":"justify","textIndent":true,"textMark":[{"_":"font_size","value":"14pt"}]},"content":[{"attrs":{},"marks":[{"_":"font_size","value":"14pt"},{"_":"font_family","value":"Times New Roman"}],"text":"Срок жизни проекта устанавливается по усмотрению Инициатора проекта. Определять срок жизни проекта как экономически целесообразный (максимизирующий NPV), технически осуществимый и юридически допустимый период, в течение которого предполагается создание, последующая эксплуатация и (если требуется в соответствии с законодательством страны реализации проекта или заключенными договорами между Участниками проекта) ликвидация объекта инвестирования или передача прав на извлечение доходов и несение затрат от эксплуатации объекта инвестирования иному лицу. При определении срока жизни проекта следует принимать во внимание: ","type":"text"}],"type":"paragraph"},{"attrs":{"lineHeight":"1","paddingBottom":"","paddingLeft":"0pt","paddingTop":"","textAlign":"justify","textIndent":true,"textMark":[{"_":"font_size","value":"14pt"}]},"content":[{"attrs":{},"marks":[{"_":"font_size","value":"14pt"},{"_":"font_family","value":"Times New Roman"}],"text":"• предполагаемый срок прекращения возможности доступа получателя средств к ключевым ресурсам (например, исчерпание сырьевых запасов, окончание срока аренды земельного участка и т.п.); ","type":"text"}],"type":"paragraph"},{"attrs":{"lineHeight":"1","paddingBottom":"","paddingLeft":"0pt","paddingTop":"","textAlign":"justify","textIndent":true,"textMark":[{"_":"font_size","value":"14pt"}]},"content":[{"attrs":{},"marks":[{"_":"font_size","value":"14pt"},{"_":"font_family","value":"Times New Roman"}],"text":"• предполагаемый срок потери контроля Получателя средств ","type":"text"},{"attrs":{},"marks":[{"_":"font_size","value":"14pt"}],"type":"hard_break"},{"attrs":{},"marks":[{"_":"font_size","value":"14pt"},{"_":"font_family","value":"Times New Roman"}],"text":"над объектом инвестирования (например, окончание срока лицензии или срока, закрепленного в договоре концессии и т.д.); ","type":"text"}],"type":"paragraph"},{"attrs":{"lineHeight":"1","paddingBottom":"","paddingLeft":"0pt","paddingTop":"","textAlign":"justify","textIndent":true,"textMark":[{"_":"font_size","value":"14pt"}]},"content":[{"attrs":{},"marks":[{"_":"font_size","value":"14pt"},{"_":"font_family","value":"Times New Roman"}],"text":"• предполагаемый срок прекращения возможности или целесообразности дальнейшей эксплуатации объекта инвестирования ввиду его физического ","type":"text"},{"attrs":{},"marks":[{"_":"font_size","value":"14pt"}],"type":"hard_break"},{"attrs":{},"marks":[{"_":"font_size","value":"14pt"},{"_":"font_family","value":"Times New Roman"}],"text":"или морального износа (в том числе, ввиду изменения технических ","type":"text"},{"attrs":{},"marks":[{"_":"font_size","value":"14pt"}],"type":"hard_break"},{"attrs":{},"marks":[{"_":"font_size","value":"14pt"},{"_":"font_family","value":"Times New Roman"}],"text":"и экологических стандартов и норм к производимому продукту, технологии производства или условиям труда, появления более эффективных средств производства); ","type":"text"}],"type":"paragraph"},{"attrs":{"lineHeight":"1","paddingBottom":"","paddingLeft":"0pt","paddingTop":"","textAlign":"justify","textIndent":true,"textMark":[{"_":"font_size","value":"14pt"}]},"content":[{"attrs":{},"marks":[{"_":"font_size","value":"14pt"},{"_":"font_family","value":"Times New Roman"}],"text":"• предполагаемый срок прекращения потребности рынка в продукте ввиду его морального устаревания или потери конкурентоспособности (продолжительность жизненного цикла продукта). ","type":"text"}],"type":"paragraph"},{"attrs":{"lineHeight":"1","paddingBottom":"","paddingLeft":"0pt","paddingTop":"","textAlign":"justify","textIndent":true,"textMark":[{"_":"font_size","value":"14pt"}]},"content":[{"attrs":{},"marks":[{"_":"font_size","value":"14pt"},{"_":"font_family","value":"Times New Roman"}],"text":"Продолжительность прогнозного периода устанавливается ","type":"text"},{"attrs":{},"marks":[{"_":"font_size","value":"14pt"}],"type":"hard_break"},{"attrs":{},"marks":[{"_":"font_size","value":"14pt"},{"_":"font_family","value":"Times New Roman"}],"text":"по усмотрению Инициатора проекта, но не может быть менее дисконтированного срока окупаемости проекта и срока возврата финансирования (срока возврата кредита Банка или срока выхода Банка из проекта в случае долевого финансирования).","type":"text"}],"type":"paragraph"},{"attrs":{"lineHeight":"1","paddingBottom":"","paddingLeft":"0pt","paddingTop":"","textAlign":"justify","textIndent":true,"textMark":[{"_":"font_size","value":"14pt"}]},"content":[{"attrs":{},"marks":[{"_":"font_size","value":"14pt"},{"_":"font_family","value":"Times New Roman"}],"text":"Если по окончании прогнозного периода для Получателя средств экономически целесообразно, технически осуществимо и юридически допустимо продолжать извлекать доходы от эксплуатации инвестиционного объекта ","type":"text"},{"attrs":{},"marks":[{"_":"font_size","value":"14pt"}],"type":"hard_break"},{"attrs":{},"marks":[{"_":"font_size","value":"14pt"},{"_":"font_family","value":"Times New Roman"}],"text":"в течение ограниченного или (в исключительных случаях) неограниченного периода времени (например, при эксплуатации возобновляемого ресурса), ","type":"text"},{"attrs":{},"marks":[{"_":"font_size","value":"14pt"}],"type":"hard_break"},{"attrs":{},"marks":[{"_":"font_size","value":"14pt"},{"_":"font_family","value":"Times New Roman"}],"text":"при этом предполагается стабилизация денежных потоков, поступающих Получателю средств (прогнозируется изменение денежных потоков с постоянным или нулевым темпом роста), может быть рассмотрен постпрогнозный период ","type":"text"},{"attrs":{},"marks":[{"_":"font_size","value":"14pt"}],"type":"hard_break"},{"attrs":{},"marks":[{"_":"font_size","value":"14pt"},{"_":"font_family","value":"Times New Roman"}],"text":"и рассчитана Заключительная стоимость (заключительный денежный поток). ","type":"text"},{"attrs":{},"marks":[{"_":"font_size","value":"14pt"}],"type":"hard_break"},{"attrs":{},"marks":[{"_":"font_size","value":"14pt"},{"_":"font_family","value":"Times New Roman"}],"text":"При выделении постпрогнозного периода необходимо обосновать, что продолжение извлечения доходов от эксплуатации инвестиционного объекта для Получателя средств в течение постпрогнозного периода является экономически целесообразным, технически осуществимым и юридически допустимым.","type":"text"}],"type":"paragraph"},{"attrs":{"lineHeight":"1","paddingBottom":"","paddingLeft":"0pt","paddingTop":"","textAlign":"justify","textIndent":true,"textMark":[{"_":"font_size","value":"14pt"}]},"content":[{"attrs":{},"marks":[{"_":"font_size","value":"14pt"},{"_":"font_family","value":"Times New Roman"}],"text":"Ставка дисконтирования и дисконтируемые денежные потоки должны относиться к одному и тому же типу (рассчитаны для проекта целиком или только для собственников) и виду (с учетом инфляции или без учета). Ставка дисконтирования должна отражать требуемую доходность для инвестиций, выраженных в той же валюте, что и валюта денежных потоков.","type":"text"}],"type":"paragraph"},{"attrs":{"lineHeight":"1","paddingBottom":"","paddingLeft":"0pt","paddingTop":"","textAlign":"justify","textIndent":true,"textMark":[{"_":"font_size","value":"14pt"}]},"content":[{"attrs":{},"marks":[{"_":"font_size","value":"14pt"},{"_":"font_family","value":"Times New Roman"}],"text":"При расчете NPVproject все денежные потоки, включая заключительную стоимость (заключительный денежный поток) должны приводиться ","type":"text"},{"attrs":{},"marks":[{"_":"font_size","value":"14pt"}],"type":"hard_break"},{"attrs":{},"marks":[{"_":"font_size","value":"14pt"},{"_":"font_family","value":"Times New Roman"}],"text":"к начальному моменту прогнозного периода путем дисконтирования. ","type":"text"}],"type":"paragraph"},{"attrs":{"lineHeight":"1","paddingBottom":"","paddingLeft":"0pt","paddingTop":"","textAlign":"justify","textIndent":true,"textMark":[{"_":"font_size","value":"14pt"}]},"content":[{"attrs":{},"marks":[{"_":"font_size","value":"14pt"},{"_":"font_family","value":"Times New Roman"},{"_":"underline"}],"text":"Особенности построения финансовых прогнозов для действующей компании: ","type":"text"}],"type":"paragraph"},{"attrs":{},"content":[{"attrs":{"listMarks":[{"_":"font_size","value":"14pt"}]},"content":[{"attrs":{"lineHeight":"1","paddingBottom":"","paddingLeft":"46.35pt","paddingTop":"","textAlign":"justify","textMark":[{"_":"font_size","value":"14pt"}]},"content":[{"attrs":{},"marks":[{"_":"font_size","value":"14pt"},{"_":"font_family","value":"Times New Roman"}],"text":"финансовая модель для действующей компании должна включать прогнозы денежных потоков, которые будут поступать Получателю средств ","type":"text"},{"attrs":{},"marks":[{"_":"font_size","value":"14pt"}],"type":"hard_break"},{"attrs":{},"marks":[{"_":"font_size","value":"14pt"},{"_":"font_family","value":"Times New Roman"}],"text":"в случае реализации проекта (прогноз «с проектом») и в случае, если проект ","type":"text"},{"attrs":{},"marks":[{"_":"font_size","value":"14pt"}],"type":"hard_break"},{"attrs":{},"marks":[{"_":"font_size","value":"14pt"},{"_":"font_family","value":"Times New Roman"}],"text":"не будет реализован (прогноз «без проекта»); ","type":"text"}],"type":"paragraph"}],"type":"list_item"},{"attrs":{"listMarks":[{"_":"font_size","value":"14pt"}]},"content":[{"attrs":{"lineHeight":"1","paddingBottom":"","paddingLeft":"46.35pt","paddingTop":"","textAlign":"justify","textMark":[{"_":"font_size","value":"14pt"}]},"content":[{"attrs":{},"marks":[{"_":"font_size","value":"14pt"},{"_":"font_family","value":"Times New Roman"}],"text":"денежные потоки по коммерческой деятельности Получателя средств, не связанной с реализацией инвестиционного проекта (в случае, если она предполагается в период реализации проекта) должны включаться ","type":"text"},{"attrs":{},"marks":[{"_":"font_size","value":"14pt"}],"type":"hard_break"},{"attrs":{},"marks":[{"_":"font_size","value":"14pt"},{"_":"font_family","value":"Times New Roman"}],"text":"в прогноз «с проектом» и, по возможности, показываться обособленно; ","type":"text"}],"type":"paragraph"}],"type":"list_item"},{"attrs":{"listMarks":[{"_":"font_size","value":"14pt"}]},"content":[{"attrs":{"lineHeight":"1","paddingBottom":"","paddingLeft":"46.35pt","paddingTop":"","textAlign":"justify","textMark":[{"_":"font_size","value":"14pt"}]},"content":[{"attrs":{},"marks":[{"_":"font_size","value":"14pt"},{"_":"font_family","value":"Times New Roman"}],"text":"при построении прогноза «с проектом» должно учитываться возможное взаимное влияние денежных потоков по проекту и по коммерческой деятельности Получателя средств, не связанной с реализацией инвестиционного проекта; ","type":"text"}],"type":"paragraph"}],"type":"list_item"},{"attrs":{"listMarks":[{"_":"font_size","value":"14pt"}]},"content":[{"attrs":{"lineHeight":"1","paddingBottom":"","paddingLeft":"46.35pt","paddingTop":"","textAlign":"justify","textMark":[{"_":"font_size","value":"14pt"}]},"content":[{"attrs":{},"marks":[{"_":"font_size","value":"14pt"},{"_":"font_family","value":"Times New Roman"}],"text":"дисконтированный период окупаемости проекта (DPBPproject) рассчитывается на основе денежных потоков по прогнозу «с проектом» ","type":"text"},{"attrs":{},"marks":[{"_":"font_size","value":"14pt"}],"type":"hard_break"},{"attrs":{},"marks":[{"_":"font_size","value":"14pt"},{"_":"font_family","value":"Times New Roman"}],"text":"за вычетом денежных потоков по прогнозу «без проекта»; ","type":"text"}],"type":"paragraph"}],"type":"list_item"},{"attrs":{"listMarks":[{"_":"font_size","value":"14pt"}]},"content":[{"attrs":{"lineHeight":"1","paddingBottom":"","paddingLeft":"46.35pt","paddingTop":"","textAlign":"justify","textMark":[{"_":"font_size","value":"14pt"}]},"content":[{"attrs":{},"marks":[{"_":"font_size","value":"14pt"},{"_":"font_family","value":"Times New Roman"}],"text":"чистая приведенная стоимость проекта (NPVproject) рассчитывается как разница между дисконтированными свободными денежными потоками ","type":"text"},{"attrs":{},"marks":[{"_":"font_size","value":"14pt"}],"type":"hard_break"},{"attrs":{},"marks":[{"_":"font_size","value":"14pt"},{"_":"font_family","value":"Times New Roman"}],"text":"по прогнозу «с проектом» и дисконтированными свободными денежными потоками по прогнозу «без проекта»; ","type":"text"}],"type":"paragraph"}],"type":"list_item"},{"attrs":{"listMarks":[{"_":"font_size","value":"14pt"}]},"content":[{"attrs":{"lineHeight":"1","paddingBottom":"","paddingLeft":"46.35pt","paddingTop":"","textAlign":"justify","textMark":[{"_":"font_size","value":"14pt"}]},"content":[{"attrs":{},"marks":[{"_":"font_size","value":"14pt"},{"_":"font_family","value":"Times New Roman"}],"text":"расчет ставки дисконтирования должен производиться на основе прогнозной структуры капитала Получателя средств (в том числе, с учетом ранее полученного долгового финансирования); ","type":"text"}],"type":"paragraph"}],"type":"list_item"},{"attrs":{"listMarks":[{"_":"font_size","value":"14pt"}]},"content":[{"attrs":{"lineHeight":"1","paddingBottom":"","paddingLeft":"46.35pt","paddingTop":"","textAlign":"justify","textMark":[{"_":"font_size","value":"14pt"}]},"content":[{"attrs":{},"marks":[{"_":"font_size","value":"14pt"},{"_":"font_family","value":"Times New Roman"}],"text":"остальные финансовые показатели (коэффициенты) и прогнозная финансовая отчетность Действующей компании строятся на основе прогноза ","type":"text"},{"attrs":{},"marks":[{"_":"font_size","value":"14pt"}],"type":"hard_break"},{"attrs":{},"marks":[{"_":"font_size","value":"14pt"},{"_":"font_family","value":"Times New Roman"}],"text":"«с проектом». ","type":"text"}],"type":"paragraph"}],"type":"list_item"}],"type":"bullet_list"},{"attrs":{"lineHeight":"","paddingBottom":"","paddingLeft":"","paddingTop":"","textAlign":"","textMark":[{"_":"font_size","value":"14pt"}]},"content":[{"attrs":{},"marks":[{"_":"font_size","value":"14pt"}],"text":" ","type":"text"}],"type":"paragraph"},{"attrs":{"lineHeight":"1","paddingBottom":"","paddingLeft":"0pt","paddingTop":"","textAlign":"center","textMark":[{"_":"font_size","value":"14pt"}]},"content":[{"attrs":{},"marks":[{"_":"font_size","value":"14pt"},{"_":"font_family","value":"Times New Roman"},{"_":"strong"}],"text":"5. Оценка устойчивости финансовых показателей (коэффициентов)","type":"text"}],"type":"paragraph"},{"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Roman"}],"text":"Для оценки устойчивости финансовых показателей (коэффициентов) применяется метод анализа чувствительности – оценки степени воздействия изменения ключевых факторов чувствительности на результаты финансовых прогнозов. Если анализ чувствительности не позволяет измерить/проиллюстрировать отдельные риски, применяются иные методы, ","type":"text"},{"attrs":{},"marks":[{"_":"font_size","value":"14pt"}],"type":"hard_break"},{"attrs":{},"marks":[{"_":"font_size","value":"14pt"},{"_":"font_family","value":"Times New Roman"}],"text":"в том числе, расчет точки безубыточности, метод МонтеКарло, сценарный анализ, факторный анализ и т.п. ","type":"text"}],"type":"paragraph"},{"attrs":{"lineHeight":"1","paddingBottom":"","paddingLeft":"0pt","paddingTop":"","textAlign":"justify","textIndent":true,"textMark":[{"_":"font_size","value":"14pt"}]},"content":[{"attrs":{},"marks":[{"_":"font_size","value":"14pt"},{"_":"font_family","value":"Times New Roman"}],"text":"К ключевым факторам чувствительности относятся допущения (исходные данные) финансовой модели, фактические значения которых в ходе реализации проекта (ввиду невозможности их точной оценки или присущей ","type":"text"},{"attrs":{},"marks":[{"_":"font_size","value":"14pt"}],"type":"hard_break"},{"attrs":{},"marks":[{"_":"font_size","value":"14pt"},{"_":"font_family","value":"Times New Roman"}],"text":"им волатильности) могут значительно отклониться от значений, заложенных ","type":"text"},{"attrs":{},"marks":[{"_":"font_size","value":"14pt"}],"type":"hard_break"},{"attrs":{},"marks":[{"_":"font_size","value":"14pt"},{"_":"font_family","value":"Times New Roman"}],"text":"в финансовую модель. В частности, к типичным факторам чувствительности можно отнести: ","type":"text"}],"type":"paragraph"},{"attrs":{},"content":[{"attrs":{"listMarks":[{"_":"font_size","value":"14pt"}]},"content":[{"attrs":{"lineHeight":"1","paddingBottom":"","paddingLeft":"18pt","paddingTop":"","textAlign":"justify","textMark":[{"_":"font_size","value":"14pt"}]},"content":[{"attrs":{},"marks":[{"_":"font_size","value":"14pt"},{"_":"font_family","value":"Times New Roman"}],"text":"цены на готовую продукцию и тарифы на услуги; ","type":"text"}],"type":"paragraph"}],"type":"list_item"},{"attrs":{"listMarks":[{"_":"font_size","value":"14pt"}]},"content":[{"attrs":{"lineHeight":"1","paddingBottom":"","paddingLeft":"18pt","paddingTop":"","textAlign":"justify","textMark":[{"_":"font_size","value":"14pt"}]},"content":[{"attrs":{},"marks":[{"_":"font_size","value":"14pt"},{"_":"font_family","value":"Times New Roman"}],"text":"объем продаж (интенсивность эксплуатации, число покупателей/пользователей); ","type":"text"}],"type":"paragraph"}],"type":"list_item"},{"attrs":{"listMarks":[{"_":"font_size","value":"14pt"}]},"content":[{"attrs":{"lineHeight":"1","paddingBottom":"","paddingLeft":"18pt","paddingTop":"","textAlign":"justify","textMark":[{"_":"font_size","value":"14pt"}]},"content":[{"attrs":{},"marks":[{"_":"font_size","value":"14pt"},{"_":"font_family","value":"Times New Roman"}],"text":"объем капитальных затрат; ","type":"text"}],"type":"paragraph"}],"type":"list_item"},{"attrs":{"listMarks":[{"_":"font_size","value":"14pt"}]},"content":[{"attrs":{"lineHeight":"1","paddingBottom":"","paddingLeft":"18pt","paddingTop":"","textAlign":"justify","textMark":[{"_":"font_size","value":"14pt"}]},"content":[{"attrs":{},"marks":[{"_":"font_size","value":"14pt"},{"_":"font_family","value":"Times New Roman"}],"text":"задержки ввода инвестиционного объекта в эксплуатацию и выхода ","type":"text"},{"attrs":{},"marks":[{"_":"font_size","value":"14pt"}],"type":"hard_break"},{"attrs":{},"marks":[{"_":"font_size","value":"14pt"},{"_":"font_family","value":"Times New Roman"}],"text":"на проектную мощность; ","type":"text"}],"type":"paragraph"}],"type":"list_item"},{"attrs":{"listMarks":[{"_":"font_size","value":"14pt"}]},"content":[{"attrs":{"lineHeight":"1","paddingBottom":"","paddingLeft":"18pt","paddingTop":"","textAlign":"justify","textMark":[{"_":"font_size","value":"14pt"}]},"content":[{"attrs":{},"marks":[{"_":"font_size","value":"14pt"},{"_":"font_family","value":"Times New Roman"}],"text":"цены на основное сырье и материалы, топливо, трудовые ресурсы; ","type":"text"}],"type":"paragraph"}],"type":"list_item"},{"attrs":{"listMarks":[{"_":"font_size","value":"14pt"}]},"content":[{"attrs":{"lineHeight":"1","paddingBottom":"","paddingLeft":"18pt","paddingTop":"","textAlign":"justify","textMark":[{"_":"font_size","value":"14pt"}]},"content":[{"attrs":{},"marks":[{"_":"font_size","value":"14pt"},{"_":"font_family","value":"Times New Roman"}],"text":"величину постоянных операционных затрат; ","type":"text"}],"type":"paragraph"}],"type":"list_item"},{"attrs":{"listMarks":[{"_":"font_size","value":"14pt"}]},"content":[{"attrs":{"lineHeight":"1","paddingBottom":"","paddingLeft":"18pt","paddingTop":"","textAlign":"justify","textMark":[{"_":"font_size","value":"14pt"}]},"content":[{"attrs":{},"marks":[{"_":"font_size","value":"14pt"},{"_":"font_family","value":"Times New Roman"}],"text":"ставку дисконтирования; ","type":"text"}],"type":"paragraph"}],"type":"list_item"},{"attrs":{"listMarks":[{"_":"font_size","value":"14pt"}]},"content":[{"attrs":{"lineHeight":"1","paddingBottom":"","paddingLeft":"18pt","paddingTop":"","textAlign":"justify","textMark":[{"_":"font_size","value":"14pt"}]},"content":[{"attrs":{},"marks":[{"_":"font_size","value":"14pt"},{"_":"font_family","value":"Times New Roman"}],"text":"прогнозные темпы инфляции; ","type":"text"}],"type":"paragraph"}],"type":"list_item"},{"attrs":{"listMarks":[{"_":"font_size","value":"14pt"}]},"content":[{"attrs":{"lineHeight":"1","paddingBottom":"","paddingLeft":"18pt","paddingTop":"","textAlign":"justify","textMark":[{"_":"font_size","value":"14pt"}]},"content":[{"attrs":{},"marks":[{"_":"font_size","value":"14pt"},{"_":"font_family","value":"Times New Roman"}],"text":"обменные курсы валют, и т.п. ","type":"text"}],"type":"paragraph"}],"type":"list_item"}],"type":"bullet_list"},{"attrs":{"lineHeight":"1","paddingBottom":"","paddingLeft":"0pt","paddingTop":"","textAlign":"justify","textIndent":true,"textMark":[{"_":"font_size","value":"14pt"}]},"content":[{"attrs":{},"marks":[{"_":"font_size","value":"14pt"},{"_":"font_family","value":"Times New Roman"}],"text":"При необходимости провести анализ чувствительности к изменению ставки дисконтирования, цены реализации продукта, цены ключевого ресурса ","type":"text"},{"attrs":{},"marks":[{"_":"font_size","value":"14pt"}],"type":"hard_break"},{"attrs":{},"marks":[{"_":"font_size","value":"14pt"},{"_":"font_family","value":"Times New Roman"}],"text":"и объема продаж. ","type":"text"}],"type":"paragraph"},{"attrs":{"lineHeight":"1","paddingBottom":"","paddingLeft":"0pt","paddingTop":"","textAlign":"justify","textIndent":true,"textMark":[{"_":"font_size","value":"14pt"}]},"content":[{"attrs":{},"marks":[{"_":"font_size","value":"14pt"},{"_":"font_family","value":"Times New Roman"}],"text":"К типичным результатам финансовых прогнозов, волатильность которых может быть измерена в ходе анализа чувствительности, относятся: ","type":"text"}],"type":"paragraph"},{"attrs":{},"content":[{"attrs":{"listMarks":[{"_":"font_size","value":"14pt"}]},"content":[{"attrs":{"lineHeight":"1","paddingBottom":"","paddingLeft":"18pt","paddingTop":"","textAlign":"justify","textMark":[{"_":"font_size","value":"14pt"}]},"content":[{"attrs":{},"marks":[{"_":"font_size","value":"14pt"},{"_":"font_family","value":"Times New Roman"}],"text":"показатели инвестиционной привлекательности; ","type":"text"}],"type":"paragraph"}],"type":"list_item"},{"attrs":{"listMarks":[{"_":"font_size","value":"14pt"}]},"content":[{"attrs":{"lineHeight":"1","paddingBottom":"","paddingLeft":"18pt","paddingTop":"","textAlign":"justify","textMark":[{"_":"font_size","value":"14pt"}]},"content":[{"attrs":{},"marks":[{"_":"font_size","value":"14pt"},{"_":"font_family","value":"Times New Roman"}],"text":"показатели финансовой устойчивости; ","type":"text"}],"type":"paragraph"}],"type":"list_item"},{"attrs":{"listMarks":[{"_":"font_size","value":"14pt"}]},"content":[{"attrs":{"lineHeight":"1","paddingBottom":"","paddingLeft":"18pt","paddingTop":"","textAlign":"justify","textMark":[{"_":"font_size","value":"14pt"}]},"content":[{"attrs":{},"marks":[{"_":"font_size","value":"14pt"},{"_":"font_family","value":"Times New Roman"}],"text":"срок возврата кредита; ","type":"text"}],"type":"paragraph"}],"type":"list_item"},{"attrs":{"listMarks":[{"_":"font_size","value":"14pt"}]},"content":[{"attrs":{"lineHeight":"1","paddingBottom":"","paddingLeft":"18pt","paddingTop":"","textAlign":"justify","textMark":[{"_":"font_size","value":"14pt"}]},"content":[{"attrs":{},"marks":[{"_":"font_size","value":"14pt"},{"_":"font_family","value":"Times New Roman"}],"text":"оценка рыночной стоимости компании или доли в уставном капитале Получателя средств; ","type":"text"}],"type":"paragraph"}],"type":"list_item"},{"attrs":{"listMarks":[{"_":"font_size","value":"14pt"}]},"content":[{"attrs":{"lineHeight":"1","paddingBottom":"","paddingLeft":"18pt","paddingTop":"","textAlign":"justify","textMark":[{"_":"font_size","value":"14pt"}]},"content":[{"attrs":{},"marks":[{"_":"font_size","value":"14pt"},{"_":"font_family","value":"Times New Roman"}],"text":"иные показатели по усмотрению Инициатора проекта. ","type":"text"}],"type":"paragraph"}],"type":"list_item"}],"type":"bullet_list"},{"attrs":{"lineHeight":"","paddingBottom":"","paddingLeft":"","paddingTop":"","textAlign":"","textMark":[{"_":"font_size","value":"14pt"}]},"content":[{"attrs":{},"marks":[{"_":"font_size","value":"14pt"}],"text":" ","type":"text"}],"type":"paragraph"},{"attrs":{"lineHeight":"1","paddingBottom":"","paddingLeft":"0pt","paddingTop":"","textAlign":"center","textMark":[{"_":"font_size","value":"14pt"}]},"content":[{"attrs":{},"marks":[{"_":"font_size","value":"14pt"},{"_":"font_family","value":"Times New Roman"},{"_":"strong"}],"text":"6. Требования к описанию финансовой модели","type":"text"}],"type":"paragraph"},{"attrs":{"lineHeight":"","paddingBottom":"","paddingLeft":"","paddingTop":"","textAlign":"","textMark":[{"_":"font_size","value":"14pt"}]},"content":[{"attrs":{},"marks":[{"_":"font_size","value":"14pt"}],"text":" ","type":"text"}],"type":"paragraph"},{"attrs":{"lineHeight":"1","paddingBottom":"","paddingLeft":"0pt","paddingTop":"","textAlign":"justify","textIndent":true,"textMark":[{"_":"font_size","value":"14pt"}]},"content":[{"attrs":{},"marks":[{"_":"font_size","value":"14pt"},{"_":"font_family","value":"Times New Roman"}],"text":"Описание финансовой модели оформляется в виде приложения ","type":"text"},{"attrs":{},"marks":[{"_":"font_size","value":"14pt"}],"type":"hard_break"},{"attrs":{},"marks":[{"_":"font_size","value":"14pt"},{"_":"font_family","value":"Times New Roman"}],"text":"к финансовой модели. В описание должны быть включены: ","type":"text"}],"type":"paragraph"},{"attrs":{},"content":[{"attrs":{"listMarks":[{"_":"font_size","value":"14pt"}]},"content":[{"attrs":{"lineHeight":"1","paddingBottom":"","paddingLeft":"53.45pt","paddingTop":"","textAlign":"justify","textMark":[{"_":"font_size","value":"14pt"}]},"content":[{"attrs":{},"marks":[{"_":"font_size","value":"14pt"},{"_":"font_family","value":"Times New Roman"}],"text":"описание структуры финансовой модели; ","type":"text"}],"type":"paragraph"}],"type":"list_item"},{"attrs":{"listMarks":[{"_":"font_size","value":"14pt"}]},"content":[{"attrs":{"lineHeight":"1","paddingBottom":"","paddingLeft":"53.45pt","paddingTop":"","textAlign":"justify","textMark":[{"_":"font_size","value":"14pt"}]},"content":[{"attrs":{},"marks":[{"_":"font_size","value":"14pt"},{"_":"font_family","value":"Times New Roman"}],"text":"описание механизма работы макросов, использованных в финансовой модели (если применимо); ","type":"text"}],"type":"paragraph"}],"type":"list_item"},{"attrs":{"listMarks":[{"_":"font_size","value":"14pt"}]},"content":[{"attrs":{"lineHeight":"1","paddingBottom":"","paddingLeft":"53.45pt","paddingTop":"","textAlign":"justify","textMark":[{"_":"font_size","value":"14pt"}]},"content":[{"attrs":{},"marks":[{"_":"font_size","value":"14pt"},{"_":"font_family","value":"Times New Roman"}],"text":"основные допущения (предположения) и исходные данные ","type":"text"},{"attrs":{},"marks":[{"_":"font_size","value":"14pt"}],"type":"hard_break"},{"attrs":{},"marks":[{"_":"font_size","value":"14pt"},{"_":"font_family","value":"Times New Roman"}],"text":"для финансовых прогнозов, с указанием источников информации, ","type":"text"},{"attrs":{},"marks":[{"_":"font_size","value":"14pt"}],"type":"hard_break"},{"attrs":{},"marks":[{"_":"font_size","value":"14pt"},{"_":"font_family","value":"Times New Roman"}],"text":"если они не приведены в бизнес-плане; ","type":"text"}],"type":"paragraph"}],"type":"list_item"},{"attrs":{"listMarks":[{"_":"font_size","value":"14pt"}]},"content":[{"attrs":{"lineHeight":"1","paddingBottom":"","paddingLeft":"53.45pt","paddingTop":"","textAlign":"justify","textMark":[{"_":"font_size","value":"14pt"}]},"content":[{"attrs":{},"marks":[{"_":"font_size","value":"14pt"},{"_":"font_family","value":"Times New Roman"}],"text":"формулы расчета финансовых показателей (коэффициентов), ","type":"text"},{"attrs":{},"marks":[{"_":"font_size","value":"14pt"}],"type":"hard_break"},{"attrs":{},"marks":[{"_":"font_size","value":"14pt"},{"_":"font_family","value":"Times New Roman"}],"text":"если они не приведены в бизнес-плане; ","type":"text"}],"type":"paragraph"}],"type":"list_item"},{"attrs":{"listMarks":[{"_":"font_size","value":"14pt"}]},"content":[{"attrs":{"lineHeight":"1","paddingBottom":"","paddingLeft":"53.45pt","paddingTop":"","textAlign":"justify","textMark":[{"_":"font_size","value":"14pt"}]},"content":[{"attrs":{},"marks":[{"_":"font_size","value":"14pt"},{"_":"font_family","value":"Times New Roman"}],"text":"контактные данные лиц, ответственных за предоставление разъяснений по финансовой модели; ","type":"text"}],"type":"paragraph"}],"type":"list_item"},{"attrs":{"listMarks":[{"_":"font_size","value":"14pt"}]},"content":[{"attrs":{"lineHeight":"1","paddingBottom":"","paddingLeft":"53.45pt","paddingTop":"","textAlign":"justify","textMark":[{"_":"font_size","value":"14pt"}]},"content":[{"attrs":{},"marks":[{"_":"font_size","value":"14pt"},{"_":"font_family","value":"Times New Roman"}],"text":"иная информация, необходимая для понимания структуры, принципов построения, механизма работы, и иных особенностей финансовой модели. ","type":"text"}],"type":"paragraph"}],"type":"list_item"}],"type":"bullet_list"},{"attrs":{"lineHeight":"1","paddingBottom":"","paddingLeft":"0pt","paddingTop":"","textAlign":"justify","textIndent":true,"textMark":[{"_":"font_size","value":"14pt"}]},"content":[{"attrs":{},"marks":[{"_":"font_size","value":"14pt"},{"_":"font_family","value":"Times New Roman"},{"_":"strong"}],"text":"Необходимые источники информации","type":"text"}],"type":"paragraph"},{"attrs":{"lineHeight":"1","paddingBottom":"","paddingLeft":"0pt","paddingTop":"","textAlign":"justify","textIndent":true,"textMark":[{"_":"font_size","value":"14pt"}]},"content":[{"attrs":{},"marks":[{"_":"font_size","value":"14pt"},{"_":"font_family","value":"Times New Roman"}],"text":"Источники информации для подготовки бизнес-плана и исходных данных (допущений) для финансовой модели включают: ","type":"text"}],"type":"paragraph"},{"attrs":{},"content":[{"attrs":{"listMarks":[{"_":"font_size","value":"14pt"}]},"content":[{"attrs":{"lineHeight":"1","paddingBottom":"","paddingLeft":"46.35pt","paddingTop":"","textAlign":"justify","textMark":[{"_":"font_size","value":"14pt"}]},"content":[{"attrs":{},"marks":[{"_":"font_size","value":"14pt"},{"_":"font_family","value":"Times New Roman"}],"text":"документы, выданные или подписанные третьими лицами, которые ","type":"text"},{"attrs":{},"marks":[{"_":"font_size","value":"14pt"}],"type":"hard_break"},{"attrs":{},"marks":[{"_":"font_size","value":"14pt"},{"_":"font_family","value":"Times New Roman"}],"text":"не являются аффилированными с Получателем средств (разрешительно согласовательная документация; договора, сметы и калькуляции; спецификации, прайс-листы, иные документы); ","type":"text"}],"type":"paragraph"}],"type":"list_item"},{"attrs":{"listMarks":[{"_":"font_size","value":"14pt"}]},"content":[{"attrs":{"lineHeight":"1","paddingBottom":"","paddingLeft":"46.35pt","paddingTop":"","textAlign":"justify","textMark":[{"_":"font_size","value":"14pt"}]},"content":[{"attrs":{},"marks":[{"_":"font_size","value":"14pt"},{"_":"font_family","value":"Times New Roman"}],"text":"исторические данные по финансово-хозяйственной деятельности Получателя средств (на основе управленческой и финансовой отчетности); ","type":"text"}],"type":"paragraph"}],"type":"list_item"},{"attrs":{"listMarks":[{"_":"font_size","value":"14pt"}]},"content":[{"attrs":{"lineHeight":"1","paddingBottom":"","paddingLeft":"46.35pt","paddingTop":"","textAlign":"justify","textMark":[{"_":"font_size","value":"14pt"}]},"content":[{"attrs":{},"marks":[{"_":"font_size","value":"14pt"},{"_":"font_family","value":"Times New Roman"}],"text":"действующие нормативно-правовые акты; ","type":"text"}],"type":"paragraph"}],"type":"list_item"},{"attrs":{"listMarks":[{"_":"font_size","value":"14pt"}]},"content":[{"attrs":{"lineHeight":"1","paddingBottom":"","paddingLeft":"46.35pt","paddingTop":"","textAlign":"justify","textMark":[{"_":"font_size","value":"14pt"}]},"content":[{"attrs":{},"marks":[{"_":"font_size","value":"14pt"},{"_":"font_family","value":"Times New Roman"}],"text":"официальные данные отраслевой и макроэкономической статистики; ","type":"text"}],"type":"paragraph"}],"type":"list_item"},{"attrs":{"listMarks":[{"_":"font_size","value":"14pt"}]},"content":[{"attrs":{"lineHeight":"1","paddingBottom":"","paddingLeft":"46.35pt","paddingTop":"","textAlign":"justify","textMark":[{"_":"font_size","value":"14pt"}]},"content":[{"attrs":{},"marks":[{"_":"font_size","value":"14pt"},{"_":"font_family","value":"Times New Roman"}],"text":"результаты аналитических исследований, произведенных независимыми экспертами, обладающими необходимой квалификацией и опытом, в том числе специально проведенных исследований по проекту; ","type":"text"}],"type":"paragraph"}],"type":"list_item"},{"attrs":{"listMarks":[{"_":"font_size","value":"14pt"}]},"content":[{"attrs":{"lineHeight":"1","paddingBottom":"","paddingLeft":"46.35pt","paddingTop":"","textAlign":"justify","textMark":[{"_":"font_size","value":"14pt"}]},"content":[{"attrs":{},"marks":[{"_":"font_size","value":"14pt"},{"_":"font_family","value":"Times New Roman"}],"text":"данные специализированных отраслевых, маркетинговых, финансовых ","type":"text"},{"attrs":{},"marks":[{"_":"font_size","value":"14pt"}],"type":"hard_break"},{"attrs":{},"marks":[{"_":"font_size","value":"14pt"},{"_":"font_family","value":"Times New Roman"}],"text":"и иных аналитических изданий, и Интернет-сайтов; ","type":"text"}],"type":"paragraph"}],"type":"list_item"},{"attrs":{"listMarks":[{"_":"font_size","value":"14pt"}]},"content":[{"attrs":{"lineHeight":"1","paddingBottom":"","paddingLeft":"46.35pt","paddingTop":"","textAlign":"justify","textMark":[{"_":"font_size","value":"14pt"}]},"content":[{"attrs":{},"marks":[{"_":"font_size","value":"14pt"},{"_":"font_family","value":"Times New Roman"}],"text":"аналитическая и статистическая информация общепризнанных информационно-аналитических агентств, банков, фондовых и товарных бирж; ","type":"text"}],"type":"paragraph"}],"type":"list_item"},{"attrs":{"listMarks":[{"_":"font_size","value":"14pt"}]},"content":[{"attrs":{"lineHeight":"1","paddingBottom":"","paddingLeft":"46.35pt","paddingTop":"","textAlign":"justify","textMark":[{"_":"font_size","value":"14pt"}]},"content":[{"attrs":{},"marks":[{"_":"font_size","value":"14pt"},{"_":"font_family","value":"Times New Roman"}],"text":"данные из иных открытых источников, которые могут быть признаны достоверными и объективными. ","type":"text"}],"type":"paragraph"}],"type":"list_item"}],"type":"bullet_list"},{"attrs":{"lineHeight":"","paddingBottom":"","paddingLeft":"","paddingTop":"","textAlign":"","textMark":[{"_":"font_size","value":"14pt"}]},"content":[{"attrs":{},"marks":[{"_":"font_size","value":"14pt"}],"text":" ","type":"text"}],"type":"paragraph"},{"attrs":{"lineHeight":"","paddingBottom":"","paddingLeft":"","paddingTop":"","textAlign":"","textMark":[]},"content":[{"attrs":{},"text":" ","type":"text"}],"type":"paragraph"}],"type":"edit_area"},{"attrs":{"num-cover":false,"num-even":false,"num-pos":"br","num-show":false,"place-cover":false,"place-even":false,"place-show":false},"content":[{"attrs":{"type":"cover"},"content":[{"attrs":{"lineHeight":"","paddingBottom":"","paddingLeft":"","paddingTop":"","textAlign":"","textMark":[]},"type":"paragraph"}],"type":"header"},{"attrs":{"type":"even"},"content":[{"attrs":{"lineHeight":"","paddingBottom":"","paddingLeft":"","paddingTop":"","textAlign":"","textMark":[]},"type":"paragraph"}],"type":"header"},{"attrs":{"type":"normal"},"content":[{"attrs":{"lineHeight":"","paddingBottom":"","paddingLeft":"","paddingTop":"","textAlign":"","textMark":[]},"type":"paragraph"}],"type":"header"},{"attrs":{"type":"cover"},"content":[{"attrs":{"lineHeight":"","paddingBottom":"","paddingLeft":"","paddingTop":"","textAlign":"","textMark":[]},"type":"paragraph"}],"type":"footer"},{"attrs":{"type":"even"},"content":[{"attrs":{"lineHeight":"","paddingBottom":"","paddingLeft":"","paddingTop":"","textAlign":"","textMark":[]},"type":"paragraph"}],"type":"footer"},{"attrs":{"type":"normal"},"content":[{"attrs":{"lineHeight":"","paddingBottom":"","paddingLeft":"","paddingTop":"","textAlign":"","textMark":[]},"type":"paragraph"}],"type":"footer"},{"attrs":{"type":"normal"},"content":[{"attrs":{},"content":[{"attrs":{},"type":"page_num_text"}],"type":"page_num_block"}],"type":"page_num"}],"type":"page_decorate"}],"type":"doc"},"html":"<div syno_invisible=\"true\" style=\"display: none;\" syno-layout=\"{&quot;left&quot;:3,&quot;top&quot;:2,&quot;right&quot;:1.5,&quot;bottom&quot;:2,&quot;orientation&quot;:&quot;portrait&quot;,&quot;page_type&quot;:&quot;a4&quot;}\"></div><div class=\"syno-o-doc-pm-edit-area\" synoedit=\"true\"><div class=\"syno-o-doc-pm-edit-area-page-container\"><div class=\"syno-o-doc-pm-page\" style=\"width: 793.7px; height: 1122.52px;\"><div class=\"syno-o-doc-pm-page-body\"><div class=\"syno-o-doc-pm-page-decorator syno-o-doc-pm-page-header\" style=\"width: 793.7px; min-height: 75.59px; max-height: 194.27px;\"></div><div class=\"syno-o-doc-pm-page-content\" style=\"width: 793.7px;\"><div class=\"syno-o-doc-pm-page-content-padding\" style=\"margin-left: 113.39px; margin-right: 56.69px;\"><div class=\"syno-o-doc-pm-page-content-container\" editable=\"true\" syno-paginated=\"false\" synoedit=\"true\" style=\"width: 623.62px;\"><p textblock=\"true\" style=\"font-weight: 400; margin-top: 0px; margin-bottom: 0px; font-size: 14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4pt&quot;}]\" class=\"syno-o-doc-pm-paragraph\"><span style=\"font-size: 14pt;\"><span style=\"font-family: Times New Roman;\"><strong><span data-syno-text=\"true\">ТРЕБОВАНИЯ</span></strong></span></span></p><p textblock=\"true\" style=\"font-weight: 400; margin-top: 0px; margin-bottom: 0px; font-size: 14pt; line-height: 1.2; padding-bottom: 0px; padding-top: 0px; padding-left: 0px; text-align: center; font-family: Arial;\" data-syno-style=\"{&quot;lineHeight&quot;:&quot;1&quot;,&quot;paddingBottom&quot;:&quot;&quot;,&quot;paddingTop&quot;:&quot;&quot;,&quot;paddingLeft&quot;:&quot;0pt&quot;,&quot;textAlign&quot;:&quot;center&quot;}\" data-syno-marks=\"[{&quot;_&quot;:&quot;font_size&quot;,&quot;value&quot;:&quot;14pt&quot;}]\" class=\"syno-o-doc-pm-paragraph\"><span style=\"font-size: 14pt;\"><span style=\"font-family: Times New Roman;\"><strong><span data-syno-text=\"true\">по подготовке бизнес-плана и финансовой модели инвестиционного проекта, предоставляемым в Акционерное общество «Кавказ.РФ»</span></strong></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u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bullet-list-marker-0\" style=\"font-size: 14pt;\"></span><span style=\"font-size: 14pt;\"><span style=\"font-family: Times New Roman;\"><strong><span data-syno-text=\"true\">Требования по подготовке бизнес-плана инвестиционного проекта, предоставляемого в Акционерное общество «Кавказ.РФ»</span></strong></span></span></p></li></u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textblock=\"true\" style=\"font-weight: 400; margin-top: 0px; margin-bottom: 0px; font-size: 14pt; line-height: 1.2; padding-bottom: 0px; padding-top: 0px; padding-left: 0px; text-align: center; font-family: Arial;\" data-syno-style=\"{&quot;lineHeight&quot;:&quot;1&quot;,&quot;paddingBottom&quot;:&quot;&quot;,&quot;paddingTop&quot;:&quot;&quot;,&quot;paddingLeft&quot;:&quot;0pt&quot;,&quot;textAlign&quot;:&quot;center&quot;}\" data-syno-marks=\"[{&quot;_&quot;:&quot;font_size&quot;,&quot;value&quot;:&quot;14pt&quot;}]\" class=\"syno-o-doc-pm-paragraph\"><span style=\"font-size: 14pt;\"><span style=\"font-family: Times New Roman;\"><strong><span data-syno-text=\"true\">СТРУКТУРА БИЗНЕС-ПЛАНА</span></strong></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Титульный лист бизнес-плана проекта</span></strong></span></span></p><ol><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Краткий обзор (резюме) проекта</span></strong></span></span></p></li><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Инициатор проекта</span></strong></span></span></p><ol><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Общие данные</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Учредители (акционеры)</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Виды и объемы деятельности</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Финансовое состояние</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Информация о руководителях</span></span></span></p></li></ol></li><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Существо предлагаемого проекта </span></strong></span></span></p><ol><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Местонахождение объекта</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Описание продукта (услуги)</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Технология производства продукта (оказания услуги)</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Характеристики закупаемого оборудования (техники)</span></span></span></p></li></ol></li><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Анализ рынков сбыта продукции и закупок сырья</span></strong></span></span></p><ol><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Рынок сырья, материалов и комплектующих</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Конкуренция на рынке сбыта</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Потенциальная емкость рынка сбыта</span></span></span></p></li></ol></li><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План продаж и стратегия маркетинга</span></strong></span></span></p></li><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Анализ доступности ресурсов</span></strong></span></span></p></li><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Воздействие на окружающую среду и устойчивое развитие</span></strong></span></span></p></li><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Организационный план</span></strong></span></span></p><ol><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Организационно-правовая форма реализации проекта</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Основные партнеры</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График реализации проекта</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Правовые вопросы осуществления проекта</span></span></span></p></li></ol></li><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План производства</span></strong></span></span></p></li><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Финансовый план</span></strong></span></span></p><ol><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Условия и допущения, принятые для расчета</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Исходные данные</span></span></span></p><ol><li><p textblock=\"true\" style=\"font-weight: 400; margin-top: 0px; margin-bottom: 0px; font-size: 14pt; line-height: 1.2; padding-bottom: 0px; padding-top: 0px; padding-left: 110.47px; text-align: justify; font-family: Arial;\" data-syno-style=\"{&quot;lineHeight&quot;:&quot;1&quot;,&quot;paddingBottom&quot;:&quot;&quot;,&quot;paddingTop&quot;:&quot;&quot;,&quot;paddingLeft&quot;:&quot;82.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Налоговое окружение</span></span></span></p></li><li><p textblock=\"true\" style=\"font-weight: 400; margin-top: 0px; margin-bottom: 0px; font-size: 14pt; line-height: 1.2; padding-bottom: 0px; padding-top: 0px; padding-left: 110.47px; text-align: justify; font-family: Arial;\" data-syno-style=\"{&quot;lineHeight&quot;:&quot;1&quot;,&quot;paddingBottom&quot;:&quot;&quot;,&quot;paddingTop&quot;:&quot;&quot;,&quot;paddingLeft&quot;:&quot;82.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Номенклатура и цены продукции (услуг)</span></span></span></p></li><li><p textblock=\"true\" style=\"font-weight: 400; margin-top: 0px; margin-bottom: 0px; font-size: 14pt; line-height: 1.2; padding-bottom: 0px; padding-top: 0px; padding-left: 110.47px; text-align: justify; font-family: Arial;\" data-syno-style=\"{&quot;lineHeight&quot;:&quot;1&quot;,&quot;paddingBottom&quot;:&quot;&quot;,&quot;paddingTop&quot;:&quot;&quot;,&quot;paddingLeft&quot;:&quot;82.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План производства</span></span></span></p></li><li><p textblock=\"true\" style=\"font-weight: 400; margin-top: 0px; margin-bottom: 0px; font-size: 14pt; line-height: 1.2; padding-bottom: 0px; padding-top: 0px; padding-left: 110.47px; text-align: justify; font-family: Arial;\" data-syno-style=\"{&quot;lineHeight&quot;:&quot;1&quot;,&quot;paddingBottom&quot;:&quot;&quot;,&quot;paddingTop&quot;:&quot;&quot;,&quot;paddingLeft&quot;:&quot;82.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Номенклатура и цены сырья, материалов и пр.</span></span></span></p></li><li><p textblock=\"true\" style=\"font-weight: 400; margin-top: 0px; margin-bottom: 0px; font-size: 14pt; line-height: 1.2; padding-bottom: 0px; padding-top: 0px; padding-left: 110.47px; text-align: justify; font-family: Arial;\" data-syno-style=\"{&quot;lineHeight&quot;:&quot;1&quot;,&quot;paddingBottom&quot;:&quot;&quot;,&quot;paddingTop&quot;:&quot;&quot;,&quot;paddingLeft&quot;:&quot;82.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Калькуляция прямых материальных затрат</span></span></span></p></li><li><p textblock=\"true\" style=\"font-weight: 400; margin-top: 0px; margin-bottom: 0px; font-size: 14pt; line-height: 1.2; padding-bottom: 0px; padding-top: 0px; padding-left: 110.47px; text-align: justify; font-family: Arial;\" data-syno-style=\"{&quot;lineHeight&quot;:&quot;1&quot;,&quot;paddingBottom&quot;:&quot;&quot;,&quot;paddingTop&quot;:&quot;&quot;,&quot;paddingLeft&quot;:&quot;82.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Численность персонала и заработная плата</span></span></span></p></li><li><p textblock=\"true\" style=\"font-weight: 400; margin-top: 0px; margin-bottom: 0px; font-size: 14pt; line-height: 1.2; padding-bottom: 0px; padding-top: 0px; padding-left: 110.47px; text-align: justify; font-family: Arial;\" data-syno-style=\"{&quot;lineHeight&quot;:&quot;1&quot;,&quot;paddingBottom&quot;:&quot;&quot;,&quot;paddingTop&quot;:&quot;&quot;,&quot;paddingLeft&quot;:&quot;82.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Накладные расходы</span></span></span></p></li><li><p textblock=\"true\" style=\"font-weight: 400; margin-top: 0px; margin-bottom: 0px; font-size: 14pt; line-height: 1.2; padding-bottom: 0px; padding-top: 0px; padding-left: 110.47px; text-align: justify; font-family: Arial;\" data-syno-style=\"{&quot;lineHeight&quot;:&quot;1&quot;,&quot;paddingBottom&quot;:&quot;&quot;,&quot;paddingTop&quot;:&quot;&quot;,&quot;paddingLeft&quot;:&quot;82.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Капитальные затраты и амортизация</span></span></span></p></li><li><p textblock=\"true\" style=\"font-weight: 400; margin-top: 0px; margin-bottom: 0px; font-size: 14pt; line-height: 1.2; padding-bottom: 0px; padding-top: 0px; padding-left: 110.47px; text-align: justify; font-family: Arial;\" data-syno-style=\"{&quot;lineHeight&quot;:&quot;1&quot;,&quot;paddingBottom&quot;:&quot;&quot;,&quot;paddingTop&quot;:&quot;&quot;,&quot;paddingLeft&quot;:&quot;82.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Обоснование потребности в оборотном капитале</span></span></span></p></li></ol></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Расчет прибыли, убытков и денежных потоков</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Оценка экономической эффективности проекта</span></span></span></p></li></ol></li><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План финансирования</span></strong></span></span></p></li><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Оценка и анализ проектных рисков</span></strong></span></span></p><ol><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Анализ чувствительности</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pan data-syno-text=\"true\">Оценка проектных рисков</span></span></span></p></li></ol></li><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Обеспечение</span></strong></span></span></p></li></o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Для оформления бизнес-плана использовать приводимое ниже его описание с комментариями.</span></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center; font-family: Arial;\" data-syno-style=\"{&quot;lineHeight&quot;:&quot;1&quot;,&quot;paddingBottom&quot;:&quot;&quot;,&quot;paddingTop&quot;:&quot;&quot;,&quot;paddingLeft&quot;:&quot;0pt&quot;,&quot;textAlign&quot;:&quot;center&quot;}\" data-syno-marks=\"[{&quot;_&quot;:&quot;font_size&quot;,&quot;value&quot;:&quot;14pt&quot;}]\" class=\"syno-o-doc-pm-paragraph\"><span pm-ignore=\"keep\" style=\"margin-left: 30px;\"></span><span style=\"font-size: 14pt;\"><span style=\"font-family: Times New Roman;\"><strong><span data-syno-text=\"true\">ТИТУЛЬНЫЙ ЛИСТ БИЗНЕС-ПЛАНА ПРОЕКТА</span></strong></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Наименование предприятия – инициатора проекта.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Наименование проекта.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Утверждающая подпись руководителя предприятия – инициатора проекта. Год и месяц составления бизнес-плана.</span></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Краткий обзор (резюме) проекта</span></strong></span></span></p></li></ol><p textblock=\"true\" style=\"font-weight: 400; margin-top: 0px; margin-bottom: 0px; font-size: 14pt; line-height: 1.2; padding-bottom: 0px; padding-top: 0px; padding-left: 0px; text-align: center; font-family: Arial;\" data-syno-style=\"{&quot;lineHeight&quot;:&quot;1&quot;,&quot;paddingBottom&quot;:&quot;&quot;,&quot;paddingTop&quot;:&quot;&quot;,&quot;paddingLeft&quot;:&quot;0pt&quot;,&quot;textAlign&quot;:&quot;center&quot;}\" data-syno-marks=\"[{&quot;_&quot;:&quot;font_size&quot;,&quot;value&quot;:&quot;14pt&quot;}]\" class=\"syno-o-doc-pm-paragraph\"><span style=\"font-size: 14pt;\"><span style=\"font-family: Times New Roman;\"><span data-syno-text=\"true\">(основные положения бизнес-плана для представления руководству АО «Кавказ.РФ»)</span></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Наименование проекта. Инициатор проекта.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Местонахождение проекта.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Организационно-правовая форма реализации проекта.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Суть проекта:</span></strong></span></span></p><ul><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цель проекта: объем продаж (доля рынка), прибыль (рентабельность), которые планируется достигнуть;</span></span></span></p></li><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тип проекта: модернизация оборудования, реконструкция, новое строительство;</span></span></span></p></li><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способ достижения цели: снижение себестоимости производства выпускаемой продукции, расширение действующего производства, разработка и выпуск новой конкурентоспособной продукции, освоение новой технологии производства (инновации), выход на новые рынки сбыта и т.п.</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С</span><strong><span data-syno-text=\"true\">роки и этапы реализации проекта, в том числе выполненные работы по проекту. </span></strong><span data-syno-text=\"true\">Финансовые ресурсы, необходимые для осуществления проекта:</span></span></span></p><ul><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общая стоимость проекта; объем выполненных работ; потребность </span></span><span data-syno-inline=\"true\"><span linebreak=\"true\" synobr=\"true\"><br></span></span><span style=\"font-family: Times New Roman;\"><span data-syno-text=\"true\">в финансировании.</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Схема финансирования</span></strong><span data-syno-text=\"true\">:</span></span></span></p><ul><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соотношение собственных и заемных средств; объем кредита;</span></span></span></p></li><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процентная ставка;</span></span></span></p></li><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график предоставления и возврата кредита.</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Оценка экономической эффективности проекта</span></strong><span data-syno-text=\"true\">:</span></span></span></p><ul><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срок окупаемости – PBP;</span></span></span></p></li><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принятая ставка дисконтирования - D;</span></span></span></p></li><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дисконтированный срок окупаемости – DPBP; чистая приведенная стоимость – NPV; внутренняя норма доходности – IRR;</span></span></span></p></li><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точка безубыточности проекта – BEP; срок возврата заемных средств – RP;</span></span></span></p></li><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коэффициент покрытия ссудной задолженности.</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Оценка рисков проекта. </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Обеспечение проекта.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Основные препятствия, способные помешать реализации проекта.</span></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Инициатор проекта</span></strong></span></span></p></li></o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Инициатор проекта – </span></strong><span data-syno-text=\"true\">юридическое лицо, подающее обращение </span></span><span data-syno-inline=\"true\"><span linebreak=\"true\" synobr=\"true\"><br></span></span><span style=\"font-family: Times New Roman;\"><span data-syno-text=\"true\">в АО «КАВКАЗ.РФ» в связи с реализацией проекта, и, как правило, потенциальный </span><strong><span data-syno-text=\"true\">Заемщик </span></strong><span data-syno-text=\"true\">по проекту.</span></span></span></p><ol><li><ol><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Общие данные</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Организационно-правовая форма, наименование, адрес и дата регистрации (начала работы). Руководитель: Ф.И.О. и должность.</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Специалисты для контактов. Телефон, факс, адрес электронной почты </span></span><span data-syno-inline=\"true\"><span linebreak=\"true\" synobr=\"true\"><br></span></span><span style=\"font-family: Times New Roman;\"><span data-syno-text=\"true\">и официального сайта в информационно-телекоммуникационной сети «Интернет».</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Сфера деятельности и отраслевая принадлежность.</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Филиалы и дочерние предприятия (основные виды их деятельности).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История развития предприятия: события, которые повлияли на развитие предприятия, главные успехи и достижения компании в период до настоящего времени. Важные изменения в структуре компании, управлении </span></span><span data-syno-inline=\"true\"><span linebreak=\"true\" synobr=\"true\"><br></span></span><span style=\"font-family: Times New Roman;\"><span data-syno-text=\"true\">или собственности.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Опыт работы в сфере деятельности, связанной с предлагаемым проектом.</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Опыт реализации аналогичных проектов – эффективность/достижение органического роста/синергия проектов/достижение поставленных целей.</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Описание текущего масштаба бизнеса организации – инициатора (оценка активов, доля рынка, и др.).</span></span></span></p><ol><li><ol><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Учредители (акционеры)</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Размер уставного (акционерного / ООО) капитала, номинальная стоимость. Количество и номинал выпущенных акций, в том числе обыкновенных </span></span><span data-syno-inline=\"true\"><span linebreak=\"true\" synobr=\"true\"><br></span></span><span style=\"font-family: Times New Roman;\"><span data-syno-text=\"true\">и привилегированных.</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Доля оплаченного капитала.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Количество и номинал объявленных акций.</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Перечень основных учредителей (акционеров), с указанием их долей </span></span><span data-syno-inline=\"true\"><span linebreak=\"true\" synobr=\"true\"><br></span></span><span style=\"font-family: Times New Roman;\"><span data-syno-text=\"true\">в капитале (имеющие долю свыше 2 %).</span></span></span></p><ol><li><ol><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Виды и объемы деятельности</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Основные виды выпускаемой продукции или оказываемых услуг. Основные потребители.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Объем продаж, валовая прибыль, прибыль после уплаты налогов </span></span><span data-syno-inline=\"true\"><span linebreak=\"true\" synobr=\"true\"><br></span></span><span style=\"font-family: Times New Roman;\"><span data-syno-text=\"true\">(за предыдущие три года, в том числе за последние три квартала).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Численность персонала    (общая, административный персонал, инженерно- технический персонал, рабочие, специалисты службы маркетинга и сбыта).</span></span></span></p><ol><li><ol><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Информация о руководителях</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Краткая характеристика лиц, ответственных за результаты работы предприятия и реализацию проекта:</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фамилия, имя, отчество; год рождения;</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должность;</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образование и квалификация;</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трудовая деятельность за последние 10 лет.</span></span></span></p></li></u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Существо предлагаемого проекта</span></strong></span></span></p></li></o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ol><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Местонахождение объекта</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Обоснование выбора местоположения (при реализации проекта на новой площадке, а не на действующем предприятии Инициатора проекта).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Доступность ресурсов. Близость к потребителям. Развитая инфраструктура. Близость к действующему предприятию. Другое.</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Наличие производственных площадей и инфраструктуры.</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Основные здания и сооружения, их функциональное назначение, занимаемая площадь, площадь земельного участка, права владения (собственность или аренда), стоимость (уровень арендных платежей, условия аренды, сроки).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Состояние основного производственного оборудования, условия владения (собственность или аренда), стоимость (уровень арендных платежей, условия аренды, сроки).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Наличие хранилищ, складов, транспортного и погрузочно-разгрузочного оборудования. Энерго-, тепло- и водоснабжение, канализация.</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Автомобильные и железные дороги, аэропорты, морские и речные порты, грузовые терминалы и таможенные склады и т.п.</span></span></span></p><ol><li><ol><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Описание продукта (услуги)</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Функциональное назначение продукта (для каких целей он предназначен). Характерные свойства продукта (уникальные, если имеются).</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Особые требования к качеству продукта.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Сравнение с конкурирующими (замещающими или альтернативными) продуктами.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Стадия развития продукта (идея, эскизный проект, рабочий проект, прототип, опытная партия, действующее серийное производство).</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Степень патентно-лицензионной защищенности продукта, наличие зарегистрированной торговой марки.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Возможности дальнейшего развития продукта.</span></span></span></p><ol><li><ol><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Технология производства продукта (оказания услуги)</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Технологический уровень в отрасли.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Тенденции изменения и развития технологии (для проектов сельскохозяйственного производства: технологии обработки земли, семян или посадочного материала, прогрессивный севооборот; достижения племенного дела, условия содержания птицы или животных, технологии и рационы кормления </span></span><span data-syno-inline=\"true\"><span linebreak=\"true\" synobr=\"true\"><br></span></span><span style=\"font-family: Times New Roman;\"><span data-syno-text=\"true\">и т.п.).</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Описание выбранной технологии производства (оказания услуг).</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Основные технологические решения и процессы. Длительность технологического цикла. Схема материальных потоков. Утилизация отходов.</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Производственная мощность.</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Годовая проектная мощность предприятия (для проектов сельскохозяйственного производства – урожайность с учетом климатических условий, состава почв, технологии обработки, севооборота, качества семян </span></span><span data-syno-inline=\"true\"><span linebreak=\"true\" synobr=\"true\"><br></span></span><span style=\"font-family: Times New Roman;\"><span data-syno-text=\"true\">или посадочного материала, наличия минеральных и органических удобрений, средств защиты растений и животных, кормов и т.п.).</span></span></span></p><ol><li><ol><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Характеристики закупаемого оборудования (техники)</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Поставщики оборудования (техники).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Сравнение технических параметров оборудования (техники). Анализ коммерческих предложений по критерию цена/качество. Совместимость </span></span><span data-syno-inline=\"true\"><span linebreak=\"true\" synobr=\"true\"><br></span></span><span style=\"font-family: Times New Roman;\"><span data-syno-text=\"true\">с имеющимся оборудованием (техникой).</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Требования к персоналу.</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Требования к производственным площадям.</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Требования к энерго-, тепло- и водоснабжению, канализации. Требования к сырью, комплектующим и материалам.</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Организация ремонта. Безопасность производства.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Парафированные или подписанные договора (контракты) на закупаемое оборудование (технику) – привести в Приложениях к бизнесу – плану.</span></span></span></p><ol><li><ol><li><p textblock=\"true\" style=\"font-weight: 400; margin-top: 0px; margin-bottom: 0px; font-size: 14pt; line-height: 1.2; padding-bottom: 0px; padding-top: 0px; padding-left: 14.47px; text-align: justify; font-family: Arial;\" data-syno-style=\"{&quot;lineHeight&quot;:&quot;1&quot;,&quot;paddingBottom&quot;:&quot;&quot;,&quot;paddingTop&quot;:&quot;&quot;,&quot;paddingLeft&quot;:&quot;10.85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Экологические вопросы производства</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Влияние проекта на окружающую среду, в том числе:</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факторы воздействия на окружающую среду (по видам и объектам воздействия);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затраты на обеспечение экологической безопасности проекта.</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Подверженность проекта негативным воздействиям окружающей среды. Охарактеризуйте климатические условия, их влияние на проект (для проектов сельскохозяйственного производства обязательно).</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Наличие соответствующей экологической экспертизы проекта (Федеральный закон от 15.04.1998 № 65-ФЗ «Об экологической экспертизе»).</span></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Анализ рынков сбыта продукции и закупок сырья</span></strong></span><a class=\"syno-o-doc-pm-mark-link\" href=\"#note-1\"><sup style=\"vertical-align: super; font-size: 80%;\"><span data-syno-text=\"true\">1</span></sup></a></span></p></li></o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Рынок сырья, материалов и комплектующих</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Перечень необходимого сырья, комплектующих и материалов, </span></span><span data-syno-inline=\"true\"><span linebreak=\"true\" synobr=\"true\"><br></span></span><span style=\"font-family: Times New Roman;\"><span data-syno-text=\"true\">в том числе импортных.</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Требуемые объемы и качество, доступность, цены (в рублях </span></span><span data-syno-inline=\"true\"><span linebreak=\"true\" synobr=\"true\"><br></span></span><span style=\"font-family: Times New Roman;\"><span data-syno-text=\"true\">или соответствующей валюте), условия приобретения, возможность получения специальных скидок или льготных условий поставки (с отсрочкой платежа, либо его доли).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Влияние конкурентов на условия закупок сырья, материалов </span></span><span data-syno-inline=\"true\"><span linebreak=\"true\" synobr=\"true\"><br></span></span><span style=\"font-family: Times New Roman;\"><span data-syno-text=\"true\">и комплектующих. Основные поставщики. Их надежность. Наличие альтернативных поставщиков.</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Наличие договоров на закупку сырья, материалов, комплектующих – привести в Приложениях к бизнес-плану.</span></span></span></p><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Конкуренция на рынке сбыта</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Перечень предприятий – основных конкурентов. Сильные и слабые стороны основных конкурентов. Удельный вес конкурентов в обороте рынка.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Технологический уровень предприятий – конкурентов.</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Цены конкурентной продукции и используемые конкурентами способы стимулирования сбыта. Реакция конкурентов на появление на рынке продукта, производимого в рамках данного проекта.</span></span></span></p><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Потенциальная емкость рынка сбыта</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Размер сегмента рынка, на котором работает или предполагает работать предприятие (общий годовой объем продаж в натуральном и стоимостном выражении);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Характеристика групп потребителей продукта:</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тип потребителя (физические лица, предприятия, единичные потребители);</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 географическое расположение потребителей;</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мнение потребителей о продукте;</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зависимость потребительского спроса от цены.</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Характеристика имеющихся основных потребителей.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Характеристика потенциальных потребителей.</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Наиболее перспективные потребители (в порядке убывания).</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Рыночная доля предприятия (текущая и планируемая на период реализации проекта).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 Наличие договоров на сбыт продукции – привести в приложениях </span></span><span data-syno-inline=\"true\"><span linebreak=\"true\" synobr=\"true\"><br></span></span><span style=\"font-family: Times New Roman;\"><span data-syno-text=\"true\">к бизнес-плану.</span></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План продаж, стратегия и маркетинг</span></strong></span></span></p></li></o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данном разделе должны быть отражены целевая динамика объема продаж (целевой интенсивности эксплуатации) и прогнозной доли рынка, </span></span><span data-syno-inline=\"true\"><span linebreak=\"true\" synobr=\"true\"><br></span></span><span style=\"font-family: Times New Roman;\"><span data-syno-text=\"true\">а также стратегия по их достижению, в том числе стратегия конкурентной борьбы.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разделе необходимо: </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привести прогнозный объем продаж (интенсивности эксплуатации) </span></span><span data-syno-inline=\"true\"><span linebreak=\"true\" synobr=\"true\"><br></span></span><span style=\"font-family: Times New Roman;\"><span data-syno-text=\"true\">в натуральных единицах, прогнозные отпускные цены (тарифы) и/или прогноз выручки от реализации в денежном выражении по проекту – с учетом анализа, произведенного в разделе анализа рынка;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описать стратегию маркетинга по проекту, к примеру: расширенную концепцию продукта (анализ возможностей дифференцирования продукта </span></span><span data-syno-inline=\"true\"><span linebreak=\"true\" synobr=\"true\"><br></span></span><span style=\"font-family: Times New Roman;\"><span data-syno-text=\"true\">с целью увеличения ценности продукта для потребителя, в том числе путем улучшения дизайна, добавления дополнительных услуг, использования торговой марки и т.п.), стратегию ценообразования, политику дистрибуции (выбор каналов продаж) и стимулирования сбыта (в том числе при отклонении фактических объемов продаж от целевых);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указать текущую и прогнозную долю компании на рынке (в случае, если предполагается увеличение доли рынка);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описать стратегию конкурентной борьбы (проникновение на рынок, увеличение или удержания целевой доли рынка). Если возможно дифференцирование продукта требуется привести сравнительный конкурентный анализ продукта, который планируется к выпуску по проекту (преимущества </span></span><span data-syno-inline=\"true\"><span linebreak=\"true\" synobr=\"true\"><br></span></span><span style=\"font-family: Times New Roman;\"><span data-syno-text=\"true\">и недостатки по сравнению с продуктами конкурентов). В случае олигополистической структуры рынка (наличии нескольких крупных игроков), требуется дать сравнительный анализ стратегий конкурентов и учесть их при выработке стратегии маркетинга по проекту. </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случае если проект относится к инновационным необходимо проработать вопрос о юридической защите интеллектуальных прав собственности на продукт (технологию).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Если целью инвестиционного проекта является строительство заранее определенного количества объектов (производственных мощностей), которые будут реализованы заранее определенному заказчику, с которым достигнуто предварительное соглашение (заключен договор) о приобретении объектов (производственных мощностей), стратегию маркетинга и план продаж рекомендуется заменить согласованным предположительным графиком ввода мощностей и передачи (реализации) объектов.</span></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Анализ доступности ресурсов</span></strong></span></span></p></li></o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данном разделе необходимо провести анализ материальных, организационных, человеческих и иных ресурсов, которые требуются </span></span><span data-syno-inline=\"true\"><span linebreak=\"true\" synobr=\"true\"><br></span></span><span style=\"font-family: Times New Roman;\"><span data-syno-text=\"true\">для реализации проекта.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Необходимо отметить, какие ресурсы уже имеются у основных участников проекта и какие ресурсы будет необходимо привлечь дополнительно при реализации проекта (производственная/строительная площадка; инфраструктура (энерго-, тепло-, водоснабжение, транспорт и т.д.); машины и оборудование; сырье, материалы, энергия, комплектующие; услуги и работы подрядчиков; трудовые ресурсы/персонал; управленческий ресурс и т.д.).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Необходимо привести в бизнес-плане: </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анализ производственной/строительной площадки (в случае ее необходимости для реализации проекта), который должен включать: расположение, в том числе близость к рынку сбыта и сырья; достаточность площади; наличие и качество прилегающей инфраструктуры и коммуникаций, </span></span><span data-syno-inline=\"true\"><span linebreak=\"true\" synobr=\"true\"><br></span></span><span style=\"font-family: Times New Roman;\"><span data-syno-text=\"true\">в том числе складских помещений; степень изношенности здания </span></span><span data-syno-inline=\"true\"><span linebreak=\"true\" synobr=\"true\"><br></span></span><span style=\"font-family: Times New Roman;\"><span data-syno-text=\"true\">и коммуникаций; требуемые изменения и улучшения; иные важные характеристики, которые обусловили ее выбор;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если проект относится к категории создания нового предприятия /производства/объекта с «нуля», информацию о том, как предполагается обеспечить устойчивое материально-техническое снабжение (указать предполагаемых поставщиков и их местоположение);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анализ управленческих ресурсов проекта (резюме команды основных руководителей и разработчиков должны быть приложены к бизнес-плану), </span></span><span data-syno-inline=\"true\"><span linebreak=\"true\" synobr=\"true\"><br></span></span><span style=\"font-family: Times New Roman;\"><span data-syno-text=\"true\">а также обосновать заинтересованность управленцев и разработчиков </span></span><span data-syno-inline=\"true\"><span linebreak=\"true\" synobr=\"true\"><br></span></span><span style=\"font-family: Times New Roman;\"><span data-syno-text=\"true\">в успешной реализации проекта (к примеру, через передачу части акций/долей Получателя средств в собственность, использование опционных схем и иных схем компенсации (оплаты труда) и т.д.). </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Необходимо: </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выделить ключевые ресурсы и провести анализ соответствующих ресурсных рынков, в том числе проанализировать текущие и прогнозные объемы спроса и предложения ресурсов, рыночную структуру, динамику цен;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если производство является трудоемким или основным продуктом </span></span><span data-syno-inline=\"true\"><span linebreak=\"true\" synobr=\"true\"><br></span></span><span style=\"font-family: Times New Roman;\"><span data-syno-text=\"true\">по проекту являются услуги или работы, можно выделить анализ трудовых ресурсов в отдельный раздел или приложение, в котором описать: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необходимый для реализации проекта персонал, в том числе количество персонала по категориям, необходимые навыки и квалификацию, предполагаемый уровень заработной платы;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имеющийся персонал (в случае его наличия), в том числе состав </span></span><span data-syno-inline=\"true\"><span linebreak=\"true\" synobr=\"true\"><br></span></span><span style=\"font-family: Times New Roman;\"><span data-syno-text=\"true\">и квалификацию, потребность в обучении, текучесть кадров, уровень оплаты труда.</span></span></span></p></li></u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Воздействие проекта на окружающую среду и устойчивое развитие</span></strong></span></span></p></li></o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данном разделе указывается следующая информация:</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данные о воздействии проекта на окружающую среду и о соответствии проекта экологическому законодательству, действующему на территории страны реализации проекта;</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наличие в составе проекта объектов государственной экологической экспертизы и государственной экспертизы проектной документации, </span></span><span data-syno-inline=\"true\"><span linebreak=\"true\" synobr=\"true\"><br></span></span><span style=\"font-family: Times New Roman;\"><span data-syno-text=\"true\">их перечень,</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перечень стандартов и нормативных документов в области экологии </span></span><span data-syno-inline=\"true\"><span linebreak=\"true\" synobr=\"true\"><br></span></span><span style=\"font-family: Times New Roman;\"><span data-syno-text=\"true\">в стране реализации проекта (кроме Российской Федерации),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результаты государственной экологической экспертизы, государственной экспертизы проектной документации, независимой экологической экспертизы, иных мероприятий по проверке соответствия проекта требованиям охраны окружающей среды (если они проводились) либо план-график их получения (при отсутствии заключений к началу экспертизы проекта),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показатели эффективности использования природных ресурсов (экологической эффективности), методика их расчета,</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выводы о показателях экологической эффективности с учетом среднеотраслевых значений и показателей в динамике реализации проекта,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описание планируемых мероприятий по охране окружающей среды, повышению эффективности использования природных ресурсов, улучшению экологической обстановки (с указанием стоимости мероприятий и плана-графика их реализации).</span></span></span></p></li></u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Организационный план</span></strong></span></span></p></li></o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Организационно-правовая форма</span></strong><span data-syno-text=\"true\"> реализации проекта (идентификация Оператора и Заемщика проекта).</span></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Оператор проекта </span></strong><span data-syno-text=\"true\">– юридическое лицо, которому предстоит осуществлять проект. Оператором может быть специально созданная </span></span><span data-syno-inline=\"true\"><span linebreak=\"true\" synobr=\"true\"><br></span></span><span style=\"font-family: Times New Roman;\"><span data-syno-text=\"true\">для реализации проекта компания. Как правило, Оператор является Заемщиком по проекту. Кроме того, одно и то же юридическое лицо зачастую является Инициатором, Оператором и Заемщиком одновременно.</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случае несовпадения Оператора/Заемщика проекта с Инициатором необходимо подробно описать схему реализации проекта (при необходимости указать участника проекта, выполняющего функцию Гаранта </span></span><span data-syno-inline=\"true\"><span linebreak=\"true\" synobr=\"true\"><br></span></span><span style=\"font-family: Times New Roman;\"><span data-syno-text=\"true\">или Поручителя) и привести данные по Оператору/Заемщику в соответствии </span></span><span data-syno-inline=\"true\"><span linebreak=\"true\" synobr=\"true\"><br></span></span><span style=\"font-family: Times New Roman;\"><span data-syno-text=\"true\">с разделом 2 настоящих Требований (для действующих компаний).</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Для новой, специально создающейся для реализации проекта компании, </span></strong><span data-syno-text=\"true\">необходимо привести следующие фактические или плановые данные:</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организационно-правовая форма, наименование, адрес и дата регистрации (начала работы); руководство: Ф.И.О. и должности ключевых руководителей предприятия, которые относятся к числу лиц, принимающих решения;</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телефон, факс, адрес электронной почты, адрес официального сайта </span></span><span data-syno-inline=\"true\"><span linebreak=\"true\" synobr=\"true\"><br></span></span><span style=\"font-family: Times New Roman;\"><span data-syno-text=\"true\">в информационно-коммуникационной сети «Интернет»;</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размер уставного (акционерного) капитала. Количество и номинал выпущенных акций, в том числе обыкновенных и привилегированных;</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доля оплаченного капитала;</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количество и номинал объявленных акций;</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перечень учредителей (акционеров), с указанием их долей в капитале; принципиальные особые положения устава.</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организационная структура управления предприятием (схема).</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производственная структура предприятия (схема).</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трудовые ресурсы и заработная плата:</span></span></span></p></li><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укрупненное штатное расписание (указать размер заработной платы </span></span><span data-syno-inline=\"true\"><span linebreak=\"true\" synobr=\"true\"><br></span></span><span style=\"font-family: Times New Roman;\"><span data-syno-text=\"true\">без отчислений на социальные нужды, а также налогов, начисляемых с фонда оплаты труда);</span></span></span></p></li><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обеспеченность персоналом (административно-управленческий, сбытовой, производственный основной и вспомогательный);</span></span></span></p></li><li><p textblock=\"true\" style=\"font-weight: 400; margin-top: 0px; margin-bottom: 0px; font-size: 14pt; line-height: 1.2; padding-bottom: 0px; padding-top: 0px; padding-left: 72px; text-align: justify; font-family: Arial;\" data-syno-style=\"{&quot;lineHeight&quot;:&quot;1&quot;,&quot;paddingBottom&quot;:&quot;&quot;,&quot;paddingTop&quot;:&quot;&quot;,&quot;paddingLeft&quot;:&quot;54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план найма и подготовки персонала.</span></span></span></p><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Основные партнеры: </span></strong><span data-syno-text=\"true\">подрядчики, поставщики, покупатели продукции и др. Наименование (если партнер определен). </span></span></span></p></li></ol></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Ожидаемое участие (совместное предприятие; финансовое участие; передача технологии; поставка/аренда оборудования; проектирование; строительство/аренда зданий и сооружений; поставка сырья, материалов </span></span><span data-syno-inline=\"true\"><span linebreak=\"true\" synobr=\"true\"><br></span></span><span style=\"font-family: Times New Roman;\"><span data-syno-text=\"true\">и комплектующих; доступ к рынку; сбыт; другое).</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Наличие соответствующего контракта (договора) с партнером – привести в Приложениях к бизнес-плану.</span></span></span></p><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График реализации проекта</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Перечень этапов и форма представления графика реализации проекта приведены условно, в качестве примера.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Указать календарные, либо относительные (от момента начала реализации проекта) даты начала и окончания этапов.</span></span></span></p><p textblock=\"true\" style=\"font-weight: 400; margin-top: 0px; margin-bottom: 0px; font-size: 14pt; line-height: 1.2; padding-bottom: 0px; padding-top: 0px; padding-left: -9.47px; text-align: left; font-family: Arial;\" data-syno-style=\"{&quot;lineHeight&quot;:&quot;1&quot;,&quot;paddingBottom&quot;:&quot;&quot;,&quot;paddingTop&quot;:&quot;&quot;,&quot;paddingLeft&quot;:&quot;-7.1pt&quot;,&quot;textAlign&quot;:&quot;&quot;}\" data-syno-marks=\"[{&quot;_&quot;:&quot;font_size&quot;,&quot;value&quot;:&quot;14pt&quot;}]\" class=\"syno-o-doc-pm-paragraph\"></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data-syno-inline=\"true\"><span linebreak=\"true\" synobr=\"true\"><br></span></span><span style=\"font-family: Times New Roman;\"><span data-syno-text=\"true\">График реализации проекта требует подтверждения со стороны независимой надзорной компании (проведение входящего строительного аудита).</span></span></span></p><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Правовые вопросы осуществления проекта</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Перечень разрешительной документации, характеризующей специфику отдельных отраслей и дающих право на хозяйственную деятельность.</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Наличие соответствующей экспертизы градостроительной и проектно-сметной документации, а также утвержденного проекта строительства («Инструкция о порядке проведения государственной экспертизы проектов строительства» РДС 11-201-95, утвержденная постановлением Госстроя </span></span><span data-syno-inline=\"true\"><span linebreak=\"true\" synobr=\"true\"><br></span></span><span style=\"font-family: Times New Roman;\"><span data-syno-text=\"true\">от 29.01.1998 № 18-10).</span></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План производства (эксплуатации)</span></strong></span></span></p></li></o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left; font-family: Arial;\" data-syno-style=\"{&quot;lineHeight&quot;:&quot;1&quot;,&quot;paddingBottom&quot;:&quot;&quot;,&quot;paddingTop&quot;:&quot;&quot;,&quot;paddingLeft&quot;:&quot;0pt&quot;,&quot;textAlign&quot;:&quot;&quot;}\" data-syno-marks=\"[{&quot;_&quot;:&quot;font_size&quot;,&quot;value&quot;:&quot;14pt&quot;}]\" class=\"syno-o-doc-pm-paragraph\"><span pm-ignore=\"keep\" style=\"margin-left: 30px;\"></span><span style=\"font-size: 14pt;\"><span style=\"font-family: Times New Roman;\"><span data-syno-text=\"true\">Необходимо привести в бизнес-плане: </span></span></span></p><ul><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план объема выпуска продукции в разрезе продуктов (продуктовых линеек) или план эксплуатации объектов, построенный с учетом прогноза объема продаж (интенсивности эксплуатации), определенного в разделе плана продаж и стратегии маркетинга; </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краткое описание производственного процесса (схемы производственных потоков) или бизнес-модели (описание основных </span></span><span data-syno-inline=\"true\"><span linebreak=\"true\" synobr=\"true\"><br></span></span><span style=\"font-family: Times New Roman;\"><span data-syno-text=\"true\">бизнес-процессов) на операционной (эксплуатационной) стадии реализации проекта. Если часть производственного процесса или отдельные бизнес-процессы предполагается передать на аутсорсинг, необходимо указать основных предполагаемых подрядчиков с обоснованием их выбора; </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краткое описание технологии производства (строительства) </span></span><span data-syno-inline=\"true\"><span linebreak=\"true\" synobr=\"true\"><br></span></span><span style=\"font-family: Times New Roman;\"><span data-syno-text=\"true\">и оборудования, которое будет использоваться для производства готовой продукции (строительства объектов), а также факторы, определившие </span></span><span data-syno-inline=\"true\"><span linebreak=\"true\" synobr=\"true\"><br></span></span><span style=\"font-family: Times New Roman;\"><span data-syno-text=\"true\">их выбор. При этом следует осветить вопросы новизны </span></span><span data-syno-inline=\"true\"><span linebreak=\"true\" synobr=\"true\"><br></span></span><span style=\"font-family: Times New Roman;\"><span data-syno-text=\"true\">и конкурентоспособности технологии (оборудования) с точки зрения российских и международных стандартов, а также привести информацию об опыте Участников проекта в их использовании; </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удельные затраты сырья и материалов, энергии, времени работы оборудования и персонала для осуществления ключевых бизнес процессов </span></span><span data-syno-inline=\"true\"><span linebreak=\"true\" synobr=\"true\"><br></span></span><span style=\"font-family: Times New Roman;\"><span data-syno-text=\"true\">или для выпуска единицы продукта. </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 Привести информацию по системе обеспечения качества продукта </span></span><span data-syno-inline=\"true\"><span linebreak=\"true\" synobr=\"true\"><br></span></span><span style=\"font-family: Times New Roman;\"><span data-syno-text=\"true\">(если высокое качество относится к конкурентным преимуществам продукта).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 отсутствии сезонных колебаний объемов производства данная таблица не приводится. При этом предполагается, что после выхода на проектную мощность объем производства постоянен до конца периода расчета проекта.</span></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Финансовый план</span></strong></span></span></p></li></o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каждом параграфе данного раздела приводятся исходные данные, принятые допущения и особенности расчета для данного проекта, значения соответствующих расчетных параметров, а также интерпретация полученных результатов. Расчетные таблицы и графики приводятся в приложениях </span></span><span data-syno-inline=\"true\"><span linebreak=\"true\" synobr=\"true\"><br></span></span><span style=\"font-family: Times New Roman;\"><span data-syno-text=\"true\">к бизнес-плану.</span></span></span></p><ol><li><ol><li><p textblock=\"true\" style=\"font-weight: 400; margin-top: 0px; margin-bottom: 0px; font-size: 14pt; line-height: 1.2; padding-bottom: 0px; padding-top: 0px; padding-left: 24px; text-align: left; font-family: Arial;\" data-syno-style=\"{&quot;lineHeight&quot;:&quot;1&quot;,&quot;paddingBottom&quot;:&quot;&quot;,&quot;paddingTop&quot;:&quot;&quot;,&quot;paddingLeft&quot;:&quot;18pt&quot;,&quot;textAlign&quot;:&quot;&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Условия и допущения, принятые для расчета</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Приводится ссылка на программное обеспечение, на котором выполнена финансово- экономическая оценка проекта.</span></span></span></p><p data-syno-indent=\"true\" textblock=\"true\" style=\"font-weight: 400; margin-top: 0px; margin-bottom: 0px; font-size: 14pt; line-height: 1.2; padding-bottom: 0px; padding-top: 0px; padding-left: 0px; text-align: left; font-family: Arial;\" data-syno-style=\"{&quot;lineHeight&quot;:&quot;1&quot;,&quot;paddingBottom&quot;:&quot;&quot;,&quot;paddingTop&quot;:&quot;&quot;,&quot;paddingLeft&quot;:&quot;0pt&quot;,&quot;textAlign&quot;:&quot;&quot;}\" data-syno-marks=\"[{&quot;_&quot;:&quot;font_size&quot;,&quot;value&quot;:&quot;14pt&quot;}]\" class=\"syno-o-doc-pm-paragraph\"><span pm-ignore=\"keep\" style=\"margin-left: 30px;\"></span><span style=\"font-size: 14pt;\"><span style=\"font-family: Times New Roman;\"><span data-syno-text=\"true\">К базовому варианту расчета предъявляются следующие требования:</span></span></span></p><ul><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trong><span data-syno-text=\"true\">расчет выполняется в текущих ценах </span></strong><span data-syno-text=\"true\">с учетом прогнозируемой инфляции или другого индекса роста цен/тарифов;</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на период, превышающий срок окупаемости проекта и возврата заемных средств на один год;</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на этапе осуществления инвестиций и освоения производственных мощностей (выхода на проектную мощность) расчеты производятся </span></span><span data-syno-inline=\"true\"><span linebreak=\"true\" synobr=\"true\"><br></span></span><span style=\"font-family: Times New Roman;\"><span data-syno-text=\"true\">с поквартальной периодичностью, далее по годам, при условии отсутствия ярко выраженной сезонности;</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значения всех исходных и расчетных данных приводятся в валюте рублях, при этом если исходные данные выражены в валюте, то они пересчитываются в рубли по единому курсу Центрального банка Российской Федерации на момент выполнения расчетов (указать дату и курс);</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остаточная стоимость активов проекта на конец расчетного периода </span></span><span data-syno-inline=\"true\"><span linebreak=\"true\" synobr=\"true\"><br></span></span><span style=\"font-family: Times New Roman;\"><span data-syno-text=\"true\">не учитывается при анализе показателей его эффективности (не предполагается их продажа и закрытие предприятия).</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Расчеты экономической эффективности проекта </span></strong><span data-syno-text=\"true\">выполняются </span></span><span data-syno-inline=\"true\"><span linebreak=\"true\" synobr=\"true\"><br></span></span><span style=\"font-family: Times New Roman;\"><span data-syno-text=\"true\">с учетом официального издания Методических рекомендаций по оценке эффективности инвестиционных проектов, утвержденные Министерством экономического развития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21.06.1999 </span></span><span data-syno-inline=\"true\"><span linebreak=\"true\" synobr=\"true\"><br></span></span><span style=\"font-family: Times New Roman;\"><span data-syno-text=\"true\">№ ВК 477), вторая редакция, рук. авт. кол.: Коссов В.В., Лившиц В.Н., Шахназаров А.Г. - М.: ОАО «НПО «Издательство «Экономика», 2000. – 421 с. Электронная версия данного документа приведена в базе «Консультант Плюс» </span></span><span data-syno-inline=\"true\"><span linebreak=\"true\" synobr=\"true\"><br></span></span><span style=\"font-family: Times New Roman;\"><span data-syno-text=\"true\">под приведенным выше номером.</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связи с этим в настоящем макете бизнес-плана не приводится полная методика расчетов и формы расчетных таблиц.</span></span></span></p><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Исходные данные</span></strong></span></span></p></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Формы исходных данных (обязательны для заполнения) предназначены </span></span><span data-syno-inline=\"true\"><span linebreak=\"true\" synobr=\"true\"><br></span></span><span style=\"font-family: Times New Roman;\"><span data-syno-text=\"true\">для сбора и структуризации информации, необходимой для выполнения финансово-экономической оценки проекта и его коммерческой состоятельности.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Данные могут быть получены из различных источников (отчет </span></span><span data-syno-inline=\"true\"><span linebreak=\"true\" synobr=\"true\"><br></span></span><span style=\"font-family: Times New Roman;\"><span data-syno-text=\"true\">об исследовании рынка, коммерческие предложения, технический проект </span></span><span data-syno-inline=\"true\"><span linebreak=\"true\" synobr=\"true\"><br></span></span><span style=\"font-family: Times New Roman;\"><span data-syno-text=\"true\">и пр.), должны корреспондироваться с соответствующими разделами бизнес-плана и документами, приводимыми в Приложениях к нему.</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Вся исходная информация подвергается экспертизе и при выявлении серьезных несоответствий АО «КАВКАЗ.РФ» может прекратить работу по проекту.</span></span></span></p><ol><li><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Налоговое окружение</span></strong></span></span></p></li></ol></li></ol></li></ol><div class=\"syno-o-doc-pm-block\" style=\"margin-right: -37.379999999999995px;\"><table synotable=\"1DvDkfgqdV\" style=\"border-collapse: collapse; table-layout: fixed; width: 661px;\" class=\"syno-o-doc-pm-table\"><colgroup><col style=\"width: 311px;\"><col style=\"width: 85px;\"><col style=\"width: 94px;\"><col style=\"width: 86px;\"><col style=\"width: 85px;\"></colgroup><tbody><tr style=\"height: 40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9.47px; text-align: center; font-family: Arial;\" data-syno-style=\"{&quot;lineHeight&quot;:&quot;1.15&quot;,&quot;paddingBottom&quot;:&quot;&quot;,&quot;paddingTop&quot;:&quot;&quot;,&quot;paddingLeft&quot;:&quot;7.1pt&quot;,&quot;textAlign&quot;:&quot;center&quot;}\" data-syno-marks=\"[{&quot;_&quot;:&quot;font_size&quot;,&quot;value&quot;:&quot;12pt&quot;}]\" class=\"syno-o-doc-pm-paragraph\"><span style=\"font-size: 12pt;\"><span style=\"font-family: Times New Roman;\"><span data-syno-text=\"true\">Наименование налогов, уплачиваемых предприятием, осуществляющим инвестиционный проект</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4px; text-align: center; font-family: Arial;\" data-syno-style=\"{&quot;lineHeight&quot;:&quot;1.15&quot;,&quot;paddingBottom&quot;:&quot;&quot;,&quot;paddingTop&quot;:&quot;&quot;,&quot;paddingLeft&quot;:&quot;3.3pt&quot;,&quot;textAlign&quot;:&quot;center&quot;}\" data-syno-marks=\"[{&quot;_&quot;:&quot;font_size&quot;,&quot;value&quot;:&quot;12pt&quot;}]\" class=\"syno-o-doc-pm-paragraph\"><span style=\"font-size: 12pt;\"><span style=\"font-family: Times New Roman;\"><span data-syno-text=\"true\">Ставка </span></span><span data-syno-inline=\"true\"><span linebreak=\"true\" synobr=\"true\"><br></span></span><span style=\"font-family: Times New Roman;\"><span data-syno-text=\"true\">(или сумма)</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Налогообла- гаемая база</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Период начис ления (дней)</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2px; text-align: center; font-family: Arial;\" data-syno-style=\"{&quot;lineHeight&quot;:&quot;1.15&quot;,&quot;paddingBottom&quot;:&quot;&quot;,&quot;paddingTop&quot;:&quot;&quot;,&quot;paddingLeft&quot;:&quot;-0.15pt&quot;,&quot;textAlign&quot;:&quot;center&quot;}\" data-syno-marks=\"[{&quot;_&quot;:&quot;font_size&quot;,&quot;value&quot;:&quot;12pt&quot;}]\" class=\"syno-o-doc-pm-paragraph\"><span style=\"font-size: 12pt;\"><span style=\"font-family: Times New Roman;\"><span data-syno-text=\"true\">Льготы</span></span></span></p><p textblock=\"true\" style=\"font-weight: 400; margin-top: 0px; margin-bottom: 0px; font-size: 12pt; line-height: 1.38; padding-bottom: 0px; padding-top: 0px; padding-left: -0.2px; text-align: center; font-family: Arial;\" data-syno-style=\"{&quot;lineHeight&quot;:&quot;1.15&quot;,&quot;paddingBottom&quot;:&quot;&quot;,&quot;paddingTop&quot;:&quot;&quot;,&quot;paddingLeft&quot;:&quot;-0.15pt&quot;,&quot;textAlign&quot;:&quot;center&quot;}\" data-syno-marks=\"[{&quot;_&quot;:&quot;font_size&quot;,&quot;value&quot;:&quot;12pt&quot;}]\" class=\"syno-o-doc-pm-paragraph\"><span style=\"font-size: 12pt;\"><span style=\"font-family: Times New Roman;\"><span data-syno-text=\"true\">(основа ние)</span></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9.47px; text-align: left; font-family: Arial;\" data-syno-style=\"{&quot;lineHeight&quot;:&quot;1.15&quot;,&quot;paddingBottom&quot;:&quot;&quot;,&quot;paddingTop&quot;:&quot;&quot;,&quot;paddingLeft&quot;:&quot;7.1pt&quot;,&quot;textAlign&quot;:&quot;&quot;}\" data-syno-marks=\"[{&quot;_&quot;:&quot;font_size&quot;,&quot;value&quot;:&quot;12pt&quot;}]\" class=\"syno-o-doc-pm-paragraph\"><span style=\"font-size: 12pt;\"><span style=\"font-family: Times New Roman;\"><span data-syno-text=\"true\">Страховые взносы в ПФР, ФСС РФ и ФОМС</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9.47px; text-align: left; font-family: Arial;\" data-syno-style=\"{&quot;lineHeight&quot;:&quot;1.15&quot;,&quot;paddingBottom&quot;:&quot;&quot;,&quot;paddingTop&quot;:&quot;&quot;,&quot;paddingLeft&quot;:&quot;7.1pt&quot;,&quot;textAlign&quot;:&quot;&quot;}\" data-syno-marks=\"[{&quot;_&quot;:&quot;font_size&quot;,&quot;value&quot;:&quot;12pt&quot;}]\" class=\"syno-o-doc-pm-paragraph\"><span style=\"font-size: 12pt;\"><span style=\"font-family: Times New Roman;\"><span data-syno-text=\"true\">Налог на добавленную стоимость</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9.47px; text-align: left; font-family: Arial;\" data-syno-style=\"{&quot;lineHeight&quot;:&quot;1.15&quot;,&quot;paddingBottom&quot;:&quot;&quot;,&quot;paddingTop&quot;:&quot;&quot;,&quot;paddingLeft&quot;:&quot;7.1pt&quot;,&quot;textAlign&quot;:&quot;&quot;}\" data-syno-marks=\"[{&quot;_&quot;:&quot;font_size&quot;,&quot;value&quot;:&quot;12pt&quot;}]\" class=\"syno-o-doc-pm-paragraph\"><span style=\"font-size: 12pt;\"><span style=\"font-family: Times New Roman;\"><span data-syno-text=\"true\">Налог на имущество</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9.47px; text-align: left; font-family: Arial;\" data-syno-style=\"{&quot;lineHeight&quot;:&quot;1.15&quot;,&quot;paddingBottom&quot;:&quot;&quot;,&quot;paddingTop&quot;:&quot;&quot;,&quot;paddingLeft&quot;:&quot;7.1pt&quot;,&quot;textAlign&quot;:&quot;&quot;}\" data-syno-marks=\"[{&quot;_&quot;:&quot;font_size&quot;,&quot;value&quot;:&quot;12pt&quot;}]\" class=\"syno-o-doc-pm-paragraph\"><span style=\"font-size: 12pt;\"><span style=\"font-family: Times New Roman;\"><span data-syno-text=\"true\">Налог на прибыль</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9.47px; text-align: left; font-family: Arial;\" data-syno-style=\"{&quot;lineHeight&quot;:&quot;1.15&quot;,&quot;paddingBottom&quot;:&quot;&quot;,&quot;paddingTop&quot;:&quot;&quot;,&quot;paddingLeft&quot;:&quot;7.1pt&quot;,&quot;textAlign&quot;:&quot;&quot;}\" data-syno-marks=\"[{&quot;_&quot;:&quot;font_size&quot;,&quot;value&quot;:&quot;12pt&quot;}]\" class=\"syno-o-doc-pm-paragraph\"><span style=\"font-size: 12pt;\"><span style=\"font-family: Times New Roman;\"><span data-syno-text=\"true\">Другие налоги (расшифровать)</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24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9.47px; text-align: left; font-family: Arial;\" data-syno-style=\"{&quot;lineHeight&quot;:&quot;1.15&quot;,&quot;paddingBottom&quot;:&quot;&quot;,&quot;paddingTop&quot;:&quot;&quot;,&quot;paddingLeft&quot;:&quot;7.1pt&quot;,&quot;textAlign&quot;:&quot;&quot;}\" data-syno-marks=\"[{&quot;_&quot;:&quot;font_size&quot;,&quot;value&quot;:&quot;12pt&quot;}]\" class=\"syno-o-doc-pm-paragraph\"><span style=\"font-size: 12pt;\"><span style=\"font-family: Times New Roman;\"><span data-syno-text=\"true\">Акцизы на сырье и готовую продукцию (с расшифровкой номенклатуры)</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47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9.47px; text-align: left; font-family: Arial;\" data-syno-style=\"{&quot;lineHeight&quot;:&quot;1.15&quot;,&quot;paddingBottom&quot;:&quot;&quot;,&quot;paddingTop&quot;:&quot;&quot;,&quot;paddingLeft&quot;:&quot;7.1pt&quot;,&quot;textAlign&quot;:&quot;&quot;}\" data-syno-marks=\"[{&quot;_&quot;:&quot;font_size&quot;,&quot;value&quot;:&quot;12pt&quot;}]\" class=\"syno-o-doc-pm-paragraph\"><span style=\"font-size: 12pt;\"><span style=\"font-family: Times New Roman;\"><span data-syno-text=\"true\">Таможенные пошлины на оборудование, сырье, материалы, комплектующие и готовую продукцию (с расшифровкой номенклатуры и кодом ТН ВЭД)</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9.47px; text-align: left; font-family: Arial;\" data-syno-style=\"{&quot;lineHeight&quot;:&quot;1.15&quot;,&quot;paddingBottom&quot;:&quot;&quot;,&quot;paddingTop&quot;:&quot;&quot;,&quot;paddingLeft&quot;:&quot;7.1pt&quot;,&quot;textAlign&quot;:&quot;&quot;}\" data-syno-marks=\"[{&quot;_&quot;:&quot;font_size&quot;,&quot;value&quot;:&quot;12pt&quot;}]\" class=\"syno-o-doc-pm-paragraph\"><span style=\"font-size: 12pt;\"><span style=\"font-family: Times New Roman;\"><span data-syno-text=\"true\">Местные налоги (расшифровать)</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24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9.47px; text-align: left; font-family: Arial;\" data-syno-style=\"{&quot;lineHeight&quot;:&quot;1.15&quot;,&quot;paddingBottom&quot;:&quot;&quot;,&quot;paddingTop&quot;:&quot;&quot;,&quot;paddingLeft&quot;:&quot;7.1pt&quot;,&quot;textAlign&quot;:&quot;&quot;}\" data-syno-marks=\"[{&quot;_&quot;:&quot;font_size&quot;,&quot;value&quot;:&quot;12pt&quot;}]\" class=\"syno-o-doc-pm-paragraph\"><span style=\"font-size: 12pt;\"><span style=\"font-family: Times New Roman;\"><span data-syno-text=\"true\">Нормативы затрат    по отнесению </span></span><span data-syno-inline=\"true\"><span linebreak=\"true\" synobr=\"true\"><br></span></span><span style=\"font-family: Times New Roman;\"><span data-syno-text=\"true\">на себестоимость:</span></span></span></p></div></div></td><td rowspan=\"1\" colspan=\"4\"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9.47px; text-align: left; font-family: Arial;\" data-syno-style=\"{&quot;lineHeight&quot;:&quot;1.15&quot;,&quot;paddingBottom&quot;:&quot;&quot;,&quot;paddingTop&quot;:&quot;&quot;,&quot;paddingLeft&quot;:&quot;7.1pt&quot;,&quot;textAlign&quot;:&quot;&quot;}\" data-syno-marks=\"[{&quot;_&quot;:&quot;font_size&quot;,&quot;value&quot;:&quot;12pt&quot;}]\" class=\"syno-o-doc-pm-paragraph\"><span style=\"font-size: 12pt;\"><span style=\"font-family: Times New Roman;\"><span data-syno-text=\"true\">Страховые платежи</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24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9.47px; text-align: left; font-family: Arial;\" data-syno-style=\"{&quot;lineHeight&quot;:&quot;1.15&quot;,&quot;paddingBottom&quot;:&quot;&quot;,&quot;paddingTop&quot;:&quot;&quot;,&quot;paddingLeft&quot;:&quot;7.1pt&quot;,&quot;textAlign&quot;:&quot;&quot;}\" data-syno-marks=\"[{&quot;_&quot;:&quot;font_size&quot;,&quot;value&quot;:&quot;12pt&quot;}]\" class=\"syno-o-doc-pm-paragraph\"><span style=\"font-size: 12pt;\"><span style=\"font-family: Times New Roman;\"><span data-syno-text=\"true\">Проценты по краткосрочным кредитам в рублях</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24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9.47px; text-align: left; font-family: Arial;\" data-syno-style=\"{&quot;lineHeight&quot;:&quot;1.15&quot;,&quot;paddingBottom&quot;:&quot;&quot;,&quot;paddingTop&quot;:&quot;&quot;,&quot;paddingLeft&quot;:&quot;7.1pt&quot;,&quot;textAlign&quot;:&quot;&quot;}\" data-syno-marks=\"[{&quot;_&quot;:&quot;font_size&quot;,&quot;value&quot;:&quot;12pt&quot;}]\" class=\"syno-o-doc-pm-paragraph\"><span style=\"font-size: 12pt;\"><span style=\"font-family: Times New Roman;\"><span data-syno-text=\"true\">Проценты по краткосрочным</span></span></span></p><p textblock=\"true\" style=\"font-weight: 400; margin-top: 0px; margin-bottom: 0px; font-size: 12pt; line-height: 1.38; padding-bottom: 0px; padding-top: 0px; padding-left: 9.47px; text-align: left; font-family: Arial;\" data-syno-style=\"{&quot;lineHeight&quot;:&quot;1.15&quot;,&quot;paddingBottom&quot;:&quot;&quot;,&quot;paddingTop&quot;:&quot;&quot;,&quot;paddingLeft&quot;:&quot;7.1pt&quot;,&quot;textAlign&quot;:&quot;&quot;}\" data-syno-marks=\"[{&quot;_&quot;:&quot;font_size&quot;,&quot;value&quot;:&quot;12pt&quot;}]\" class=\"syno-o-doc-pm-paragraph\"><span style=\"font-size: 12pt;\"><span style=\"font-family: Times New Roman;\"><span data-syno-text=\"true\">кредитам в иностранной валюте</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body><div><div class=\"syno-o-doc-table-resize-bar syno-o-doc-table-resize-hbar\"></div><div class=\"syno-o-doc-table-resize-bar syno-o-doc-table-resize-vbar\"></div></div></table></div><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Приведенный в таблице перечень налогов должен быть уточнен </span></span><span data-syno-inline=\"true\"><span linebreak=\"true\" synobr=\"true\"><br></span></span><span style=\"font-family: Times New Roman;\"><span data-syno-text=\"true\">и расширен с учетом местных или отраслевых особенностей налогообложения проекта (предприятия).</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 указании таможенных пошлин на оборудование, сырье, материалы, комплектующие или готовую продукцию привести соответствующий код </span></span><span data-syno-inline=\"true\"><span linebreak=\"true\" synobr=\"true\"><br></span></span><span style=\"font-family: Times New Roman;\"><span data-syno-text=\"true\">ТН ВЭД.</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Должны быть описаны существующие льготы по уплате того или иного налога (особенности исчисления).</span></span></span></p><ol><li><ol><li><ol><li><p textblock=\"true\" style=\"font-weight: 400; margin-top: 0px; margin-bottom: 0px; font-size: 14pt; line-height: 1.2; padding-bottom: 0px; padding-top: 0px; padding-left: 24px; text-align: left; font-family: Arial;\" data-syno-style=\"{&quot;lineHeight&quot;:&quot;1&quot;,&quot;paddingBottom&quot;:&quot;&quot;,&quot;paddingTop&quot;:&quot;&quot;,&quot;paddingLeft&quot;:&quot;18pt&quot;,&quot;textAlign&quot;:&quot;&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Номенклатура и цены продукции / услуг </span></strong><span data-syno-text=\"true\">(в валюте платежа)</span></span></span></p></li></ol></li></ol></li></ol><div class=\"syno-o-doc-pm-block\" style=\"margin-right: -34.379999999999995px;\"><table synotable=\"mGNFhvxlrt\" style=\"border-collapse: collapse; table-layout: fixed; width: 658px;\" class=\"syno-o-doc-pm-table\"><colgroup><col style=\"width: 28px;\"><col style=\"width: 113px;\"><col style=\"width: 47px;\"><col style=\"width: 141px;\"><col style=\"width: 66px;\"><col style=\"width: 75px;\"><col style=\"width: 47px;\"><col style=\"width: 141px;\"></colgroup><tbody><tr style=\"height: 40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33px; text-align: center; font-family: Arial;\" data-syno-style=\"{&quot;lineHeight&quot;:&quot;1.15&quot;,&quot;paddingBottom&quot;:&quot;&quot;,&quot;paddingTop&quot;:&quot;&quot;,&quot;paddingLeft&quot;:&quot;3.25pt&quot;,&quot;textAlign&quot;:&quot;center&quot;}\" data-syno-marks=\"[{&quot;_&quot;:&quot;font_size&quot;,&quot;value&quot;:&quot;12pt&quot;}]\" class=\"syno-o-doc-pm-paragraph\"><span style=\"font-size: 12pt;\"><span style=\"font-family: Times New Roman;\"><span data-syno-text=\"true\">Наименование продукции, услуг</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Ед. изм.</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93px; text-align: center; font-family: Arial;\" data-syno-style=\"{&quot;lineHeight&quot;:&quot;1.15&quot;,&quot;paddingBottom&quot;:&quot;&quot;,&quot;paddingTop&quot;:&quot;&quot;,&quot;paddingLeft&quot;:&quot;-2.2pt&quot;,&quot;textAlign&quot;:&quot;center&quot;}\" data-syno-marks=\"[{&quot;_&quot;:&quot;font_size&quot;,&quot;value&quot;:&quot;12pt&quot;}]\" class=\"syno-o-doc-pm-paragraph\"><span style=\"font-size: 12pt;\"><span style=\"font-family: Times New Roman;\"><span data-syno-text=\"true\">Цена без НДС, акциза, таможенной</span></span></span></p><p textblock=\"true\" style=\"font-weight: 400; margin-top: 0px; margin-bottom: 0px; font-size: 12pt; line-height: 1.38; padding-bottom: 0px; padding-top: 0px; padding-left: -2.93px; text-align: center; font-family: Arial;\" data-syno-style=\"{&quot;lineHeight&quot;:&quot;1.15&quot;,&quot;paddingBottom&quot;:&quot;&quot;,&quot;paddingTop&quot;:&quot;&quot;,&quot;paddingLeft&quot;:&quot;-2.2pt&quot;,&quot;textAlign&quot;:&quot;center&quot;}\" data-syno-marks=\"[{&quot;_&quot;:&quot;font_size&quot;,&quot;value&quot;:&quot;12pt&quot;}]\" class=\"syno-o-doc-pm-paragraph\"><span style=\"font-size: 12pt;\"><span style=\"font-family: Times New Roman;\"><span data-syno-text=\"true\">пошлины</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Акциз</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Таможен- ная пошлина</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НДС</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14.33px; text-align: center; font-family: Arial;\" data-syno-style=\"{&quot;lineHeight&quot;:&quot;1.15&quot;,&quot;paddingBottom&quot;:&quot;&quot;,&quot;paddingTop&quot;:&quot;&quot;,&quot;paddingLeft&quot;:&quot;10.75pt&quot;,&quot;textAlign&quot;:&quot;center&quot;}\" data-syno-marks=\"[{&quot;_&quot;:&quot;font_size&quot;,&quot;value&quot;:&quot;12pt&quot;}]\" class=\"syno-o-doc-pm-paragraph\"><span style=\"font-size: 12pt;\"><span style=\"font-family: Times New Roman;\"><span data-syno-text=\"true\">Цена с НДС,</span></span></span></p><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акцизом, таможен-ной пошлиной</span></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4pt&quot;}]\" class=\"syno-o-doc-pm-paragraph\"><span style=\"font-size: 14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r></tbody><div><div class=\"syno-o-doc-table-resize-bar syno-o-doc-table-resize-hbar\"></div><div class=\"syno-o-doc-table-resize-bar syno-o-doc-table-resize-vbar\"></div></div></table></div><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Отходы производства, подлежащие реализации на сторону, </span></span><span data-syno-inline=\"true\"><span linebreak=\"true\" synobr=\"true\"><br></span></span><span style=\"font-family: Times New Roman;\"><span data-syno-text=\"true\">также должны быть включены в данную таблицу.</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Сезонные колебания цен </span></strong><span data-syno-text=\"true\">(с учетом инфляции).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data-syno-inline=\"true\"><span synograph=\"XQiEDx3jdp\" data-graph-type=\"image\" graph-config=\"{&quot;alignment&quot;:&quot;inline&quot;,&quot;crop&quot;:null,&quot;file_alt&quot;:&quot;image2.png&quot;,&quot;file_id&quot;:&quot;11&quot;,&quot;file_type&quot;:&quot;image&quot;,&quot;height&quot;:20,&quot;type&quot;:&quot;image&quot;,&quot;width&quot;:15}\" style=\"display: inline-block; white-space: nowrap;\" class=\"syno-o-doc-pm-graph\"></span></span><span style=\"font-family: Times New Roman;\"><span data-syno-text=\"true\"> Цены указываются в процентах для каждого квартала, при условии наличия ярко выраженной сезонности;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За 100% принимается цена, приведенная в предыдущей таблице.</span></span></span></p><div class=\"syno-o-doc-pm-block\" style=\"margin-right: -25.379999999999995px;\"><table synotable=\"RHE5G0wjzF\" style=\"border-collapse: collapse; table-layout: fixed; width: 649px;\" class=\"syno-o-doc-pm-table\"><colgroup><col style=\"width: 18px;\"><col style=\"width: 292px;\"><col style=\"width: 86px;\"><col style=\"width: 92px;\"><col style=\"width: 92px;\"><col style=\"width: 69px;\"></colgroup><tbody><tr style=\"height: 12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span></span></span></p></div></div></td><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center; font-family: Arial;\" data-syno-style=\"{&quot;lineHeight&quot;:&quot;1.15&quot;,&quot;paddingBottom&quot;:&quot;&quot;,&quot;paddingTop&quot;:&quot;&quot;,&quot;paddingLeft&quot;:&quot;5.35pt&quot;,&quot;textAlign&quot;:&quot;center&quot;}\" data-syno-marks=\"[{&quot;_&quot;:&quot;font_size&quot;,&quot;value&quot;:&quot;12pt&quot;}]\" class=\"syno-o-doc-pm-paragraph\"><span style=\"font-size: 12pt;\"><span style=\"font-family: Times New Roman;\"><span data-syno-text=\"true\">Наименование  продукции</span></span></span></p></div></div></td><td rowspan=\"1\" colspan=\"4\"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95.4px; text-align: center; font-family: Arial;\" data-syno-style=\"{&quot;lineHeight&quot;:&quot;1.15&quot;,&quot;paddingBottom&quot;:&quot;&quot;,&quot;paddingTop&quot;:&quot;&quot;,&quot;paddingLeft&quot;:&quot;71.55pt&quot;,&quot;textAlign&quot;:&quot;center&quot;}\" data-syno-marks=\"[{&quot;_&quot;:&quot;font_size&quot;,&quot;value&quot;:&quot;12pt&quot;}]\" class=\"syno-o-doc-pm-paragraph\"><span style=\"font-size: 12pt;\"><span style=\"font-family: Times New Roman;\"><span data-syno-text=\"true\">Номер квартала</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r><tr style=\"height: 12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2px; text-align: center; font-family: Arial;\" data-syno-style=\"{&quot;lineHeight&quot;:&quot;1.15&quot;,&quot;paddingBottom&quot;:&quot;&quot;,&quot;paddingTop&quot;:&quot;&quot;,&quot;paddingLeft&quot;:&quot;0.15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27px; text-align: center; font-family: Arial;\" data-syno-style=\"{&quot;lineHeight&quot;:&quot;1.15&quot;,&quot;paddingBottom&quot;:&quot;&quot;,&quot;paddingTop&quot;:&quot;&quot;,&quot;paddingLeft&quot;:&quot;0.2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13px; text-align: center; font-family: Arial;\" data-syno-style=\"{&quot;lineHeight&quot;:&quot;1.15&quot;,&quot;paddingBottom&quot;:&quot;&quot;,&quot;paddingTop&quot;:&quot;&quot;,&quot;paddingLeft&quot;:&quot;0.1pt&quot;,&quot;textAlign&quot;:&quot;center&quot;}\" data-syno-marks=\"[{&quot;_&quot;:&quot;font_size&quot;,&quot;value&quot;:&quot;12pt&quot;}]\" class=\"syno-o-doc-pm-paragraph\"><span style=\"font-size: 12pt;\"><span style=\"font-family: Times New Roman;\"><span data-syno-text=\"true\">3</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4</span></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body><div><div class=\"syno-o-doc-table-resize-bar syno-o-doc-table-resize-hbar\"></div><div class=\"syno-o-doc-table-resize-bar syno-o-doc-table-resize-vbar\"></div></div></table></div><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 отсутствии сезонных колебаний цен данная таблица не приводится.</span></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План производства (продаж) продукции </span></strong><span data-syno-text=\"true\">(в натуральном выражении или в процентах освоения проектной мощности, приведенной </span></span><span data-syno-inline=\"true\"><span linebreak=\"true\" synobr=\"true\"><br></span></span><span style=\"font-family: Times New Roman;\"><span data-syno-text=\"true\">к интервалу планирования).</span></span></span></p></li></ol></li></ol></li></ol><div class=\"syno-o-doc-pm-block\" style=\"margin-right: -27.379999999999995px;\"><table synotable=\"RLQ51xuyVa\" style=\"border-collapse: collapse; table-layout: fixed; width: 651px;\" class=\"syno-o-doc-pm-table\"><colgroup><col style=\"width: 31px;\"><col style=\"width: 107px;\"><col style=\"width: 47px;\"><col style=\"width: 75px;\"><col style=\"width: 94px;\"><col style=\"width: 103px;\"><col style=\"width: 28px;\"><col style=\"width: 28px;\"><col style=\"width: 138px;\"></colgroup><tbody><tr style=\"height: 9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span></span></span></p></div></div></td><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Наименование продукции</span></span></span></p></div></div></td><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Ед. изм.</span></span></span></p></div></div></td><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Годовая проектная мощность</span></span></span></p></div></div></td><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в т.ч. потери: </span></span><span data-syno-inline=\"true\"><span linebreak=\"true\" synobr=\"true\"><br></span></span><span style=\"font-family: Times New Roman;\"><span data-syno-text=\"true\">на брак и хранение (%)</span></span></span></p></div></div></td><td rowspan=\"1\" colspan=\"4\"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Номер интервала планирования (мес.)</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r><tr style=\"height: 38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Интервал начала производства</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Интервал выхода </span></span><span data-syno-inline=\"true\"><span linebreak=\"true\" synobr=\"true\"><br></span></span><span style=\"font-family: Times New Roman;\"><span data-syno-text=\"true\">на проектную</span></span></span></p><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мощность</span></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body><div><div class=\"syno-o-doc-table-resize-bar syno-o-doc-table-resize-hbar\"></div><div class=\"syno-o-doc-table-resize-bar syno-o-doc-table-resize-vbar\"></div></div></table></div><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Для проектов сельскохозяйственного производства, кроме потерь необходимо указать также процент продукции собственного производства, реализуемой в счет натуральной оплаты труда и внутреннего потребления.</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Объем продаж</span></strong><span data-syno-text=\"true\"> в каждом интервале планирования рассчитывается </span></span><span data-syno-inline=\"true\"><span linebreak=\"true\" synobr=\"true\"><br></span></span><span style=\"font-family: Times New Roman;\"><span data-syno-text=\"true\">в дальнейшем с учетом принятого плана производства, а также норм страхового запаса и оборота (в днях) склада готовой продукции.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Допускается, при необходимости, указывать вместо объемов производства – объемы продаж продукции. При этом соответственно, объем производства становится расчетным параметром проекта. При заполнении таблицы необходимо указать выбранный вариант: объем производства или продаж.</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Сезонные колебания объемов производства продукции</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Объемы производства указываются в процентах для каждого квартала, при условии наличия ярко выраженной сезонности. За 100% принимается объем производства, приведенный в последней графе предыдущей таблицы (интервал выхода на проектную мощность).</span></span></span></p><div class=\"syno-o-doc-pm-block\" style=\"margin-right: -26.379999999999995px;\"><table synotable=\"FFGpVkI5lV\" style=\"border-collapse: collapse; table-layout: fixed; width: 650px;\" class=\"syno-o-doc-pm-table\"><colgroup><col style=\"width: 47px;\"><col style=\"width: 245px;\"><col style=\"width: 85px;\"><col style=\"width: 94px;\"><col style=\"width: 94px;\"><col style=\"width: 85px;\"></colgroup><tbody><tr style=\"height: 12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span></span></span></p></div></div></td><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Наименование продукции</span></span></span></p></div></div></td><td rowspan=\"1\" colspan=\"4\"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Номер квартала</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r><tr style=\"height: 12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2px; text-align: center; font-family: Arial;\" data-syno-style=\"{&quot;lineHeight&quot;:&quot;1.15&quot;,&quot;paddingBottom&quot;:&quot;&quot;,&quot;paddingTop&quot;:&quot;&quot;,&quot;paddingLeft&quot;:&quot;0.15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27px; text-align: center; font-family: Arial;\" data-syno-style=\"{&quot;lineHeight&quot;:&quot;1.15&quot;,&quot;paddingBottom&quot;:&quot;&quot;,&quot;paddingTop&quot;:&quot;&quot;,&quot;paddingLeft&quot;:&quot;0.2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13px; text-align: center; font-family: Arial;\" data-syno-style=\"{&quot;lineHeight&quot;:&quot;1.15&quot;,&quot;paddingBottom&quot;:&quot;&quot;,&quot;paddingTop&quot;:&quot;&quot;,&quot;paddingLeft&quot;:&quot;0.1pt&quot;,&quot;textAlign&quot;:&quot;center&quot;}\" data-syno-marks=\"[{&quot;_&quot;:&quot;font_size&quot;,&quot;value&quot;:&quot;12pt&quot;}]\" class=\"syno-o-doc-pm-paragraph\"><span style=\"font-size: 12pt;\"><span style=\"font-family: Times New Roman;\"><span data-syno-text=\"true\">3</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4</span></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body><div><div class=\"syno-o-doc-table-resize-bar syno-o-doc-table-resize-hbar\"></div><div class=\"syno-o-doc-table-resize-bar syno-o-doc-table-resize-vbar\"></div></div></table></div><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 отсутствии сезонных колебаний объемов производства данная таблица не приводится. При этом предполагается, что после выхода на проектную мощность объем производства постоянен до конца периода расчета проекта.</span></span></span></p><ol><li><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Номенклатура и цены сырья, материалов и пр. </span></strong><span data-syno-text=\"true\">(в валюте платежа)</span></span></span></p></li></ol></li></ol></li></ol><div class=\"syno-o-doc-pm-block\" style=\"margin-right: -24.379999999999995px;\"><table synotable=\"PZouolX4BZ\" style=\"border-collapse: collapse; table-layout: fixed; width: 648px;\" class=\"syno-o-doc-pm-table\"><colgroup><col style=\"width: 28px;\"><col style=\"width: 132px;\"><col style=\"width: 37px;\"><col style=\"width: 113px;\"><col style=\"width: 56px;\"><col style=\"width: 94px;\"><col style=\"width: 47px;\"><col style=\"width: 141px;\"></colgroup><tbody><tr style=\"height: 21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data-syno-indent=\"true\"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pm-ignore=\"keep\" style=\"margin-left: 30px;\"></span><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1px; text-align: center; font-family: Arial;\" data-syno-style=\"{&quot;lineHeight&quot;:&quot;1.15&quot;,&quot;paddingBottom&quot;:&quot;&quot;,&quot;paddingTop&quot;:&quot;&quot;,&quot;paddingLeft&quot;:&quot;-0.75pt&quot;,&quot;textAlign&quot;:&quot;center&quot;}\" data-syno-marks=\"[{&quot;_&quot;:&quot;font_size&quot;,&quot;value&quot;:&quot;12pt&quot;}]\" class=\"syno-o-doc-pm-paragraph\"><span style=\"font-size: 12pt;\"><span style=\"font-family: Times New Roman;\"><span data-syno-text=\"true\">Наименование статей прямых материальных затрат</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Ед. изм.</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2px; text-align: center; font-family: Arial;\" data-syno-style=\"{&quot;lineHeight&quot;:&quot;1.15&quot;,&quot;paddingBottom&quot;:&quot;&quot;,&quot;paddingTop&quot;:&quot;&quot;,&quot;paddingLeft&quot;:&quot;2.4pt&quot;,&quot;textAlign&quot;:&quot;center&quot;}\" data-syno-marks=\"[{&quot;_&quot;:&quot;font_size&quot;,&quot;value&quot;:&quot;12pt&quot;}]\" class=\"syno-o-doc-pm-paragraph\"><span style=\"font-size: 12pt;\"><span style=\"font-family: Times New Roman;\"><span data-syno-text=\"true\">Цена без НДС, акциза,</span></span></span></p><p textblock=\"true\" style=\"font-weight: 400; margin-top: 0px; margin-bottom: 0px; font-size: 12pt; line-height: 1.38; padding-bottom: 0px; padding-top: 0px; padding-left: 3.2px; text-align: center; font-family: Arial;\" data-syno-style=\"{&quot;lineHeight&quot;:&quot;1.15&quot;,&quot;paddingBottom&quot;:&quot;&quot;,&quot;paddingTop&quot;:&quot;&quot;,&quot;paddingLeft&quot;:&quot;2.4pt&quot;,&quot;textAlign&quot;:&quot;center&quot;}\" data-syno-marks=\"[{&quot;_&quot;:&quot;font_size&quot;,&quot;value&quot;:&quot;12pt&quot;}]\" class=\"syno-o-doc-pm-paragraph\"><span style=\"font-size: 12pt;\"><span style=\"font-family: Times New Roman;\"><span data-syno-text=\"true\">таможенной</span></span></span></p><p textblock=\"true\" style=\"font-weight: 400; margin-top: 0px; margin-bottom: 0px; font-size: 12pt; line-height: 1.38; padding-bottom: 0px; padding-top: 0px; padding-left: 3.2px; text-align: center; font-family: Arial;\" data-syno-style=\"{&quot;lineHeight&quot;:&quot;1.15&quot;,&quot;paddingBottom&quot;:&quot;&quot;,&quot;paddingTop&quot;:&quot;&quot;,&quot;paddingLeft&quot;:&quot;2.4pt&quot;,&quot;textAlign&quot;:&quot;center&quot;}\" data-syno-marks=\"[{&quot;_&quot;:&quot;font_size&quot;,&quot;value&quot;:&quot;12pt&quot;}]\" class=\"syno-o-doc-pm-paragraph\"><span style=\"font-size: 12pt;\"><span style=\"font-family: Times New Roman;\"><span data-syno-text=\"true\">пошлины</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2px; text-align: center; font-family: Arial;\" data-syno-style=\"{&quot;lineHeight&quot;:&quot;1.15&quot;,&quot;paddingBottom&quot;:&quot;&quot;,&quot;paddingTop&quot;:&quot;&quot;,&quot;paddingLeft&quot;:&quot;3.15pt&quot;,&quot;textAlign&quot;:&quot;center&quot;}\" data-syno-marks=\"[{&quot;_&quot;:&quot;font_size&quot;,&quot;value&quot;:&quot;12pt&quot;}]\" class=\"syno-o-doc-pm-paragraph\"><span style=\"font-size: 12pt;\"><span style=\"font-family: Times New Roman;\"><span data-syno-text=\"true\">Акциз</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1px; text-align: center; font-family: Arial;\" data-syno-style=\"{&quot;lineHeight&quot;:&quot;1.15&quot;,&quot;paddingBottom&quot;:&quot;&quot;,&quot;paddingTop&quot;:&quot;&quot;,&quot;paddingLeft&quot;:&quot;-0.75pt&quot;,&quot;textAlign&quot;:&quot;center&quot;}\" data-syno-marks=\"[{&quot;_&quot;:&quot;font_size&quot;,&quot;value&quot;:&quot;12pt&quot;}]\" class=\"syno-o-doc-pm-paragraph\"><span style=\"font-size: 12pt;\"><span style=\"font-family: Times New Roman;\"><span data-syno-text=\"true\">Таможенная пошлина</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px; text-align: center; font-family: Arial;\" data-syno-style=\"{&quot;lineHeight&quot;:&quot;1.15&quot;,&quot;paddingBottom&quot;:&quot;&quot;,&quot;paddingTop&quot;:&quot;&quot;,&quot;paddingLeft&quot;:&quot;3pt&quot;,&quot;textAlign&quot;:&quot;center&quot;}\" data-syno-marks=\"[{&quot;_&quot;:&quot;font_size&quot;,&quot;value&quot;:&quot;12pt&quot;}]\" class=\"syno-o-doc-pm-paragraph\"><span style=\"font-size: 12pt;\"><span style=\"font-family: Times New Roman;\"><span data-syno-text=\"true\">НДС</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8px; text-align: center; font-family: Arial;\" data-syno-style=\"{&quot;lineHeight&quot;:&quot;1.15&quot;,&quot;paddingBottom&quot;:&quot;&quot;,&quot;paddingTop&quot;:&quot;&quot;,&quot;paddingLeft&quot;:&quot;6pt&quot;,&quot;textAlign&quot;:&quot;center&quot;}\" data-syno-marks=\"[{&quot;_&quot;:&quot;font_size&quot;,&quot;value&quot;:&quot;12pt&quot;}]\" class=\"syno-o-doc-pm-paragraph\"><span style=\"font-size: 12pt;\"><span style=\"font-family: Times New Roman;\"><span data-syno-text=\"true\">Цена с НДС,</span></span></span></p><p textblock=\"true\" style=\"font-weight: 400; margin-top: 0px; margin-bottom: 0px; font-size: 12pt; line-height: 1.38; padding-bottom: 0px; padding-top: 0px; padding-left: 3.8px; text-align: center; font-family: Arial;\" data-syno-style=\"{&quot;lineHeight&quot;:&quot;1.15&quot;,&quot;paddingBottom&quot;:&quot;&quot;,&quot;paddingTop&quot;:&quot;&quot;,&quot;paddingLeft&quot;:&quot;2.85pt&quot;,&quot;textAlign&quot;:&quot;center&quot;}\" data-syno-marks=\"[{&quot;_&quot;:&quot;font_size&quot;,&quot;value&quot;:&quot;12pt&quot;}]\" class=\"syno-o-doc-pm-paragraph\"><span style=\"font-size: 12pt;\"><span style=\"font-family: Times New Roman;\"><span data-syno-text=\"true\">акцизом, таможенной пошлиной</span></span></span></p></div></div></td></tr><tr style=\"height: 14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r><tr style=\"height: 13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div></div></td></tr></tbody><div><div class=\"syno-o-doc-table-resize-bar syno-o-doc-table-resize-hbar\"></div><div class=\"syno-o-doc-table-resize-bar syno-o-doc-table-resize-vbar\"></div></div></table></div><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таблицу включаются, как правило, материальные затраты, величина которых прямо пропорциональна объему производства (сырье, материалы </span></span><span data-syno-inline=\"true\"><span linebreak=\"true\" synobr=\"true\"><br></span></span><span style=\"font-family: Times New Roman;\"><span data-syno-text=\"true\">и комплектующие, энерго-, тепло-, водопотребление, тара и упаковка и т.п.).</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Примерный перечень материальных затрат, учитывающий специфику проектов сельскохозяйственного производства (без разделения на прямые материальные затраты и накладные расходы):</span></span></span></p><ul><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семена и посадочный материал;</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удобрения минеральные и органические; средства защиты растений </span></span><span data-syno-inline=\"true\"><span linebreak=\"true\" synobr=\"true\"><br></span></span><span style=\"font-family: Times New Roman;\"><span data-syno-text=\"true\">и животных; корма;</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сырье для переработки; ГСМ и топливо;</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энерго-, тепло- и водопотребление;</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запасные части и материалы для ремонта основных средств (обычно входят в состав накладных расходов);</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затраты на работы и услуги производственного характера (оплата транспорта, ремонта сельхозтехники и т.п. – обычно входят в состав накладных расходов);</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прочие материальные затраты, не вошедшие в накладные расходы предприятия.</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Сезонные колебания цен прямых материальных затрат </span></strong><span data-syno-text=\"true\">(с учетом инфляции).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Цены указываются в процентах для каждого квартала, при условии наличия ярко выраженной сезонности. За 100% принимается цена, приведенная в предыдущей таблице.</span></span></span></p><div class=\"syno-o-doc-pm-block\" style=\"margin-right: -17.379999999999995px;\"><table synotable=\"8bpMDdo6S1\" style=\"border-collapse: collapse; table-layout: fixed; width: 641px;\" class=\"syno-o-doc-pm-table\"><colgroup><col style=\"width: 43px;\"><col style=\"width: 202px;\"><col style=\"width: 99px;\"><col style=\"width: 99px;\"><col style=\"width: 99px;\"><col style=\"width: 99px;\"></colgroup><tbody><tr style=\"height: 12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span></span></span></p></div></div></td><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4px; text-align: center; font-family: Arial;\" data-syno-style=\"{&quot;lineHeight&quot;:&quot;1.15&quot;,&quot;paddingBottom&quot;:&quot;&quot;,&quot;paddingTop&quot;:&quot;&quot;,&quot;paddingLeft&quot;:&quot;2.55pt&quot;,&quot;textAlign&quot;:&quot;center&quot;}\" data-syno-marks=\"[{&quot;_&quot;:&quot;font_size&quot;,&quot;value&quot;:&quot;12pt&quot;}]\" class=\"syno-o-doc-pm-paragraph\"><span style=\"font-size: 12pt;\"><span style=\"font-family: Times New Roman;\"><span data-syno-text=\"true\">Наименование продукции</span></span></span></p></div></div></td><td rowspan=\"1\" colspan=\"4\"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data-syno-indent=\"true\"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pm-ignore=\"keep\" style=\"margin-left: 30px;\"></span><span style=\"font-size: 12pt;\"><span style=\"font-family: Times New Roman;\"><span data-syno-text=\"true\">Номер квартала</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r><tr style=\"height: 12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2px; text-align: center; font-family: Arial;\" data-syno-style=\"{&quot;lineHeight&quot;:&quot;1.15&quot;,&quot;paddingBottom&quot;:&quot;&quot;,&quot;paddingTop&quot;:&quot;&quot;,&quot;paddingLeft&quot;:&quot;0.15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27px; text-align: center; font-family: Arial;\" data-syno-style=\"{&quot;lineHeight&quot;:&quot;1.15&quot;,&quot;paddingBottom&quot;:&quot;&quot;,&quot;paddingTop&quot;:&quot;&quot;,&quot;paddingLeft&quot;:&quot;0.2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13px; text-align: center; font-family: Arial;\" data-syno-style=\"{&quot;lineHeight&quot;:&quot;1.15&quot;,&quot;paddingBottom&quot;:&quot;&quot;,&quot;paddingTop&quot;:&quot;&quot;,&quot;paddingLeft&quot;:&quot;0.1pt&quot;,&quot;textAlign&quot;:&quot;center&quot;}\" data-syno-marks=\"[{&quot;_&quot;:&quot;font_size&quot;,&quot;value&quot;:&quot;12pt&quot;}]\" class=\"syno-o-doc-pm-paragraph\"><span style=\"font-size: 12pt;\"><span style=\"font-family: Times New Roman;\"><span data-syno-text=\"true\">3</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4</span></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body><div><div class=\"syno-o-doc-table-resize-bar syno-o-doc-table-resize-hbar\"></div><div class=\"syno-o-doc-table-resize-bar syno-o-doc-table-resize-vbar\"></div></div></table></div><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 отсутствии сезонных колебаний цен данная таблица не приводится.</span></span></span></p><ol><li><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Калькуляция прямых материальных затрат на производство единицы продукции </span></strong><span data-syno-text=\"true\">(в натуральном и стоимостном выражении и нормативах на единицу продукции).</span></span></span></p></li></ol></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Для проектов сельскохозяйственного производства необходимо дополнительно привести нормы расхода на единицу обрабатываемых площадей с учетом принятого севооборота.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Приводится отдельная таблица для каждого вида продукции проекта.</span></span></span></p><div class=\"syno-o-doc-pm-block\" style=\"margin-right: -12.379999999999995px;\"><table synotable=\"iLgUd8725j\" style=\"border-collapse: collapse; table-layout: fixed; width: 636px;\" class=\"syno-o-doc-pm-table\"><colgroup><col style=\"width: 39px;\"><col style=\"width: 132px;\"><col style=\"width: 66px;\"><col style=\"width: 71px;\"><col style=\"width: 72px;\"><col style=\"width: 72px;\"><col style=\"width: 84px;\"><col style=\"width: 100px;\"></colgroup><tbody><tr style=\"height: 71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5.8px; text-align: center; font-family: Arial;\" data-syno-style=\"{&quot;lineHeight&quot;:&quot;1.15&quot;,&quot;paddingBottom&quot;:&quot;&quot;,&quot;paddingTop&quot;:&quot;&quot;,&quot;paddingLeft&quot;:&quot;4.35pt&quot;,&quot;textAlign&quot;:&quot;center&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Наименование  статей прямых материальных затрат</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center; font-family: Arial;\" data-syno-style=\"{&quot;lineHeight&quot;:&quot;1.15&quot;,&quot;paddingBottom&quot;:&quot;&quot;,&quot;paddingTop&quot;:&quot;&quot;,&quot;paddingLeft&quot;:&quot;5.35pt&quot;,&quot;textAlign&quot;:&quot;center&quot;}\" data-syno-marks=\"[{&quot;_&quot;:&quot;font_size&quot;,&quot;value&quot;:&quot;12pt&quot;}]\" class=\"syno-o-doc-pm-paragraph\"><span style=\"font-size: 12pt;\"><span style=\"font-family: Times New Roman;\"><span data-syno-text=\"true\">Ед. изм. статьи затрат</span></span></span></p><p textblock=\"true\" style=\"font-weight: 400; margin-top: 0px; margin-bottom: 0px; font-size: 12pt; line-height: 1.38; padding-bottom: 0px; padding-top: 0px; padding-left: 8.73px; text-align: center; font-family: Arial;\" data-syno-style=\"{&quot;lineHeight&quot;:&quot;1.15&quot;,&quot;paddingBottom&quot;:&quot;&quot;,&quot;paddingTop&quot;:&quot;&quot;,&quot;paddingLeft&quot;:&quot;6.55pt&quot;,&quot;textAlign&quot;:&quot;center&quot;}\" data-syno-marks=\"[{&quot;_&quot;:&quot;font_size&quot;,&quot;value&quot;:&quot;12pt&quot;}]\" class=\"syno-o-doc-pm-paragraph\"><span style=\"font-size: 12pt;\"><span style=\"font-family: Times New Roman;\"><span data-syno-text=\"true\">---------</span></span></span></p><p textblock=\"true\" style=\"font-weight: 400; margin-top: 0px; margin-bottom: 0px; font-size: 12pt; line-height: 1.38; padding-bottom: 0px; padding-top: 0px; padding-left: 8.73px; text-align: center; font-family: Arial;\" data-syno-style=\"{&quot;lineHeight&quot;:&quot;1.15&quot;,&quot;paddingBottom&quot;:&quot;&quot;,&quot;paddingTop&quot;:&quot;&quot;,&quot;paddingLeft&quot;:&quot;6.55pt&quot;,&quot;textAlign&quot;:&quot;center&quot;}\" data-syno-marks=\"[{&quot;_&quot;:&quot;font_size&quot;,&quot;value&quot;:&quot;12pt&quot;}]\" class=\"syno-o-doc-pm-paragraph\"><span style=\"font-size: 12pt;\"><span style=\"font-family: Times New Roman;\"><span data-syno-text=\"true\">Ед. изм.</span></span></span></p><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продук- ции</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Норма расхода (ед. изм. статьи затрат)</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07px; text-align: center; font-family: Arial;\" data-syno-style=\"{&quot;lineHeight&quot;:&quot;1.15&quot;,&quot;paddingBottom&quot;:&quot;&quot;,&quot;paddingTop&quot;:&quot;&quot;,&quot;paddingLeft&quot;:&quot;1.55pt&quot;,&quot;textAlign&quot;:&quot;center&quot;}\" data-syno-marks=\"[{&quot;_&quot;:&quot;font_size&quot;,&quot;value&quot;:&quot;12pt&quot;}]\" class=\"syno-o-doc-pm-paragraph\"><span style=\"font-size: 12pt;\"><span style=\"font-family: Times New Roman;\"><span data-syno-text=\"true\">в т.ч., потери: хранения и техноло-гические (%)</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6px; text-align: center; font-family: Arial;\" data-syno-style=\"{&quot;lineHeight&quot;:&quot;1.15&quot;,&quot;paddingBottom&quot;:&quot;&quot;,&quot;paddingTop&quot;:&quot;&quot;,&quot;paddingLeft&quot;:&quot;5.7pt&quot;,&quot;textAlign&quot;:&quot;center&quot;}\" data-syno-marks=\"[{&quot;_&quot;:&quot;font_size&quot;,&quot;value&quot;:&quot;12pt&quot;}]\" class=\"syno-o-doc-pm-paragraph\"><span style=\"font-size: 12pt;\"><span style=\"font-family: Times New Roman;\"><span data-syno-text=\"true\">Цена за ед. изм. статьи затрат</span></span></span></p><p textblock=\"true\" style=\"font-weight: 400; margin-top: 0px; margin-bottom: 0px; font-size: 12pt; line-height: 1.38; padding-bottom: 0px; padding-top: 0px; padding-left: 5.6px; text-align: center; font-family: Arial;\" data-syno-style=\"{&quot;lineHeight&quot;:&quot;1.15&quot;,&quot;paddingBottom&quot;:&quot;&quot;,&quot;paddingTop&quot;:&quot;&quot;,&quot;paddingLeft&quot;:&quot;4.2pt&quot;,&quot;textAlign&quot;:&quot;center&quot;}\" data-syno-marks=\"[{&quot;_&quot;:&quot;font_size&quot;,&quot;value&quot;:&quot;12pt&quot;}]\" class=\"syno-o-doc-pm-paragraph\"><span style=\"font-size: 12pt;\"><span style=\"font-family: Times New Roman;\"><span data-syno-text=\"true\">без НДС (валюта платежа)</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5.27px; text-align: center; font-family: Arial;\" data-syno-style=\"{&quot;lineHeight&quot;:&quot;1.15&quot;,&quot;paddingBottom&quot;:&quot;&quot;,&quot;paddingTop&quot;:&quot;&quot;,&quot;paddingLeft&quot;:&quot;3.95pt&quot;,&quot;textAlign&quot;:&quot;center&quot;}\" data-syno-marks=\"[{&quot;_&quot;:&quot;font_size&quot;,&quot;value&quot;:&quot;12pt&quot;}]\" class=\"syno-o-doc-pm-paragraph\"><span style=\"font-size: 12pt;\"><span style=\"font-family: Times New Roman;\"><span data-syno-text=\"true\">Стоимость статьи затрат (валюта платежа)</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data-syno-indent=\"true\" textblock=\"true\" style=\"font-weight: 400; margin-top: 0px; margin-bottom: 0px; font-size: 12pt; line-height: 1.38; padding-bottom: 0px; padding-top: 0px; padding-left: -0.93px; text-align: center; font-family: Arial;\" data-syno-style=\"{&quot;lineHeight&quot;:&quot;1.15&quot;,&quot;paddingBottom&quot;:&quot;&quot;,&quot;paddingTop&quot;:&quot;&quot;,&quot;paddingLeft&quot;:&quot;-0.7pt&quot;,&quot;textAlign&quot;:&quot;center&quot;}\" data-syno-marks=\"[{&quot;_&quot;:&quot;font_size&quot;,&quot;value&quot;:&quot;12pt&quot;}]\" class=\"syno-o-doc-pm-paragraph\"><span pm-ignore=\"keep\" style=\"margin-left: 30px;\"></span><span style=\"font-size: 12pt;\"><span style=\"font-family: Times New Roman;\"><span data-syno-text=\"true\">Стоимость статьи затрат (руб.)</span></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5.8px; text-align: center; font-family: Arial;\" data-syno-style=\"{&quot;lineHeight&quot;:&quot;1.15&quot;,&quot;paddingBottom&quot;:&quot;&quot;,&quot;paddingTop&quot;:&quot;&quot;,&quot;paddingLeft&quot;:&quot;4.35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5.8px; text-align: center; font-family: Arial;\" data-syno-style=\"{&quot;lineHeight&quot;:&quot;1.15&quot;,&quot;paddingBottom&quot;:&quot;&quot;,&quot;paddingTop&quot;:&quot;&quot;,&quot;paddingLeft&quot;:&quot;4.35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5.8px; text-align: center; font-family: Arial;\" data-syno-style=\"{&quot;lineHeight&quot;:&quot;1.15&quot;,&quot;paddingBottom&quot;:&quot;&quot;,&quot;paddingTop&quot;:&quot;&quot;,&quot;paddingLeft&quot;:&quot;4.35pt&quot;,&quot;textAlign&quot;:&quot;center&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6\"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Всего прямых материальных затрат</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body><div><div class=\"syno-o-doc-table-resize-bar syno-o-doc-table-resize-hbar\"></div><div class=\"syno-o-doc-table-resize-bar syno-o-doc-table-resize-vbar\"></div></div></table></div><ol><li><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Численность персонала и заработная плата </span></strong><span data-syno-text=\"true\">(без единого социального налога)</span></span></span></p></li></ol></li></ol></li></ol><div class=\"syno-o-doc-pm-block\" style=\"margin-right: -9.379999999999995px;\"><table synotable=\"3kcVhfO1la\" style=\"border-collapse: collapse; table-layout: fixed; width: 633px;\" class=\"syno-o-doc-pm-table\"><colgroup><col style=\"width: 35px;\"><col style=\"width: 146px;\"><col style=\"width: 85px;\"><col style=\"width: 66px;\"><col style=\"width: 66px;\"><col style=\"width: 66px;\"><col style=\"width: 66px;\"><col style=\"width: 103px;\"></colgroup><tbody><tr style=\"height: 12px;\" class=\"syno-o-doc-pm-table-row\"><td rowspan=\"3\"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span></span></span></p></div></div></td><td rowspan=\"3\"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center; font-family: Arial;\" data-syno-style=\"{&quot;lineHeight&quot;:&quot;1.15&quot;,&quot;paddingBottom&quot;:&quot;&quot;,&quot;paddingTop&quot;:&quot;&quot;,&quot;paddingLeft&quot;:&quot;5.35pt&quot;,&quot;textAlign&quot;:&quot;center&quot;}\" data-syno-marks=\"[{&quot;_&quot;:&quot;font_size&quot;,&quot;value&quot;:&quot;12pt&quot;}]\" class=\"syno-o-doc-pm-paragraph\"><span style=\"font-size: 12pt;\"><span style=\"font-family: Times New Roman;\"><span data-syno-text=\"true\">Наименование категории персонала</span></span></span></p></div></div></td><td rowspan=\"3\"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Средняя зарплата</span></span></span></p><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работника </span></span><span data-syno-inline=\"true\"><span linebreak=\"true\" synobr=\"true\"><br></span></span><span style=\"font-family: Times New Roman;\"><span data-syno-text=\"true\">в месяц (руб.)</span></span></span></p></div></div></td><td rowspan=\"1\" colspan=\"5\"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Номер интервала планирования (мес.)</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r><tr style=\"height: 28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p textblock=\"true\" style=\"font-weight: 400; margin-top: 0px; margin-bottom: 0px; font-size: 12pt; line-height: 1.38; padding-bottom: 0px; padding-top: 0px; padding-left: 0.07px; text-align: center; font-family: Arial;\" data-syno-style=\"{&quot;lineHeight&quot;:&quot;1.15&quot;,&quot;paddingBottom&quot;:&quot;&quot;,&quot;paddingTop&quot;:&quot;&quot;,&quot;paddingLeft&quot;:&quot;0.05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3</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07px; text-align: center; font-family: Arial;\" data-syno-style=\"{&quot;lineHeight&quot;:&quot;1.15&quot;,&quot;paddingBottom&quot;:&quot;&quot;,&quot;paddingTop&quot;:&quot;&quot;,&quot;paddingLeft&quot;:&quot;1.55pt&quot;,&quot;textAlign&quot;:&quot;center&quot;}\" data-syno-marks=\"[{&quot;_&quot;:&quot;font_size&quot;,&quot;value&quot;:&quot;12pt&quot;}]\" class=\"syno-o-doc-pm-paragraph\"><span style=\"font-size: 12pt;\"><span style=\"font-family: Times New Roman;\"><span data-syno-text=\"true\">Выход на проектную</span></span></span></p><p textblock=\"true\" style=\"font-weight: 400; margin-top: 0px; margin-bottom: 0px; font-size: 12pt; line-height: 1.38; padding-bottom: 0px; padding-top: 0px; padding-left: 2.07px; text-align: center; font-family: Arial;\" data-syno-style=\"{&quot;lineHeight&quot;:&quot;1.15&quot;,&quot;paddingBottom&quot;:&quot;&quot;,&quot;paddingTop&quot;:&quot;&quot;,&quot;paddingLeft&quot;:&quot;1.55pt&quot;,&quot;textAlign&quot;:&quot;center&quot;}\" data-syno-marks=\"[{&quot;_&quot;:&quot;font_size&quot;,&quot;value&quot;:&quot;12pt&quot;}]\" class=\"syno-o-doc-pm-paragraph\"><span style=\"font-size: 12pt;\"><span style=\"font-family: Times New Roman;\"><span data-syno-text=\"true\">мощность</span></span></span></p></div></div></td></tr><tr style=\"height: 3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5\"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Численность (чел.)</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r><tr style=\"height: 24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Основной</span></span></span></p><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производственный</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24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Вспомогательный</span></span></span></p><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производственный</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24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3.</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Административно-</span></span></span></p><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управленческий</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3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4.</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Сбытовой</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body><div><div class=\"syno-o-doc-table-resize-bar syno-o-doc-table-resize-hbar\"></div><div class=\"syno-o-doc-table-resize-bar syno-o-doc-table-resize-vbar\"></div></div></table></div><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Разбиение на категории может быть изменено в соответствии </span></span><span data-syno-inline=\"true\"><span linebreak=\"true\" synobr=\"true\"><br></span></span><span style=\"font-family: Times New Roman;\"><span data-syno-text=\"true\">со спецификой проекта, как в сторону сокращения, так и в сторону детализации.</span></span></span></p><ol><li><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Накладные расходы</span></strong></span></span></p></li></ol></li></ol></li></o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Указать базу и норму (%) исчисления, а также перечень основных </span></span><span data-syno-inline=\"true\"><span linebreak=\"true\" synobr=\"true\"><br></span></span><span style=\"font-family: Times New Roman;\"><span data-syno-text=\"true\">(по объему затрат) статей, условно разбитых на три категории: общехозяйственные, административные, сбытовые.</span></span></span></p><div class=\"syno-o-doc-pm-block\" style=\"margin-right: -10.379999999999995px;\"><table synotable=\"Uewp5jVHZZ\" style=\"border-collapse: collapse; table-layout: fixed; width: 634px;\" class=\"syno-o-doc-pm-table\"><colgroup><col style=\"width: 35px;\"><col style=\"width: 261px;\"><col style=\"width: 168px;\"><col style=\"width: 170px;\"></colgroup><tbody><tr style=\"height: 24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center; font-family: Arial;\" data-syno-style=\"{&quot;lineHeight&quot;:&quot;1.15&quot;,&quot;paddingBottom&quot;:&quot;&quot;,&quot;paddingTop&quot;:&quot;&quot;,&quot;paddingLeft&quot;:&quot;5.35pt&quot;,&quot;textAlign&quot;:&quot;center&quot;}\" data-syno-marks=\"[{&quot;_&quot;:&quot;font_size&quot;,&quot;value&quot;:&quot;12pt&quot;}]\" class=\"syno-o-doc-pm-paragraph\"><span style=\"font-size: 12pt;\"><span style=\"font-family: Times New Roman;\"><span data-syno-text=\"true\">Наименование статей </span></span><span data-syno-inline=\"true\"><span linebreak=\"true\" synobr=\"true\"><br></span></span><span style=\"font-family: Times New Roman;\"><span data-syno-text=\"true\">накладных расходов</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center; font-family: Arial;\" data-syno-style=\"{&quot;lineHeight&quot;:&quot;1.15&quot;,&quot;paddingBottom&quot;:&quot;&quot;,&quot;paddingTop&quot;:&quot;&quot;,&quot;paddingLeft&quot;:&quot;5.35pt&quot;,&quot;textAlign&quot;:&quot;center&quot;}\" data-syno-marks=\"[{&quot;_&quot;:&quot;font_size&quot;,&quot;value&quot;:&quot;12pt&quot;}]\" class=\"syno-o-doc-pm-paragraph\"><span style=\"font-size: 12pt;\"><span style=\"font-family: Times New Roman;\"><span data-syno-text=\"true\">Норма исчисления (%)</span></span></span></p><p textblock=\"true\" style=\"font-weight: 400; margin-top: 0px; margin-bottom: 0px; font-size: 12pt; line-height: 1.38; padding-bottom: 0px; padding-top: 0px; padding-left: 7.13px; text-align: center; font-family: Arial;\" data-syno-style=\"{&quot;lineHeight&quot;:&quot;1.15&quot;,&quot;paddingBottom&quot;:&quot;&quot;,&quot;paddingTop&quot;:&quot;&quot;,&quot;paddingLeft&quot;:&quot;5.35pt&quot;,&quot;textAlign&quot;:&quot;center&quot;}\" data-syno-marks=\"[{&quot;_&quot;:&quot;font_size&quot;,&quot;value&quot;:&quot;12pt&quot;}]\" class=\"syno-o-doc-pm-paragraph\"><span style=\"font-size: 12pt;\"><span style=\"font-family: Times New Roman;\"><span data-syno-text=\"true\">или сумма (руб.)</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07px; text-align: center; font-family: Arial;\" data-syno-style=\"{&quot;lineHeight&quot;:&quot;1.15&quot;,&quot;paddingBottom&quot;:&quot;&quot;,&quot;paddingTop&quot;:&quot;&quot;,&quot;paddingLeft&quot;:&quot;5.3pt&quot;,&quot;textAlign&quot;:&quot;center&quot;}\" data-syno-marks=\"[{&quot;_&quot;:&quot;font_size&quot;,&quot;value&quot;:&quot;12pt&quot;}]\" class=\"syno-o-doc-pm-paragraph\"><span style=\"font-size: 12pt;\"><span style=\"font-family: Times New Roman;\"><span data-syno-text=\"true\">База исчисления</span></span></span></p></div></div></td></tr><tr style=\"height: 12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Общехозяйственные</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Административные</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3.</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Сбытовые</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body><div><div class=\"syno-o-doc-table-resize-bar syno-o-doc-table-resize-hbar\"></div><div class=\"syno-o-doc-table-resize-bar syno-o-doc-table-resize-vbar\"></div></div></table></div><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 этом </span><strong><span data-syno-text=\"true\">в состав накладных расходов не включаются следующие элементы: заработная плата, амортизация, налоги, проценты </span></strong></span><span data-syno-inline=\"true\"><span linebreak=\"true\" synobr=\"true\"><br></span></span><span style=\"font-family: Times New Roman;\"><strong><span data-syno-text=\"true\">и лизинговые платежи</span></strong><span data-syno-text=\"true\">. Эти элементы затрат указываются в других разделах бизнес-плана.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База исчисления статьи накладных расходов должна соответствовать </span></span><span data-syno-inline=\"true\"><span linebreak=\"true\" synobr=\"true\"><br></span></span><span style=\"font-family: Times New Roman;\"><span data-syno-text=\"true\">ее экономическому смыслу, а именно: возможна зависимость накладных расходов от выручки, заработной платы, стоимости оборудования и т.п., например, расходы на содержание склада пропорциональны величине запасов, сбытовые расходы зависят от объема реализации и т.п. Если такая зависимость имеет место, то данную статью накладных расходов следует описывать через норму (%) и базу исчисления величины расходов. Условно-постоянные накладные расходы задаются суммой затрат в год.</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Ниже приведен примерный перечень статей накладных расходов, условно разбитых на три категории:</span></span></span></p><p data-syno-indent=\"true\" textblock=\"true\" style=\"font-weight: 400; margin-top: 0px; margin-bottom: 0px; font-size: 14pt; line-height: 1.2; padding-bottom: 0px; padding-top: 0px; padding-left: 0px; text-align: left; font-family: Arial;\" data-syno-style=\"{&quot;lineHeight&quot;:&quot;1&quot;,&quot;paddingBottom&quot;:&quot;&quot;,&quot;paddingTop&quot;:&quot;&quot;,&quot;paddingLeft&quot;:&quot;0pt&quot;,&quot;textAlign&quot;:&quot;&quot;}\" data-syno-marks=\"[{&quot;_&quot;:&quot;font_size&quot;,&quot;value&quot;:&quot;14pt&quot;}]\" class=\"syno-o-doc-pm-paragraph\"><span pm-ignore=\"keep\" style=\"margin-left: 30px;\"></span><span style=\"font-size: 14pt;\"><span style=\"font-family: Times New Roman;\"><strong><span data-syno-text=\"true\">Общехозяйственные:</span></strong></span></span></p><ul><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затраты на содержание и ремонт зданий и сооружений производственного назначения; затраты на аренду объектов основных производственных фондов;</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затраты на аренду земли сельскохозяйственного назначения; затраты по эксплуатации оборудования;</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текущий ремонт оборудования и транспортных средств;</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внутризаводские транспортные затраты, связанные </span></span><span data-syno-inline=\"true\"><span linebreak=\"true\" synobr=\"true\"><br></span></span><span style=\"font-family: Times New Roman;\"><span data-syno-text=\"true\">с производственными процессами; затраты на охрану окружающей среды;</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затраты на переработку, утилизацию и удаление отходов;</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платежи за предельно допустимые выбросы загрязняющих веществ; затраты на охрану труда;</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затраты на текущую подготовку и переподготовку кадров; затраты </span></span><span data-syno-inline=\"true\"><span linebreak=\"true\" synobr=\"true\"><br></span></span><span style=\"font-family: Times New Roman;\"><span data-syno-text=\"true\">на проведение испытаний, опытов, исследований; затраты на содержание лабораторий;</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затраты на изобретательство и рационализацию; оплата работ </span></span><span data-syno-inline=\"true\"><span linebreak=\"true\" synobr=\"true\"><br></span></span><span style=\"font-family: Times New Roman;\"><span data-syno-text=\"true\">по сертификации продукции.</span></span></span></p></li></ul><p data-syno-indent=\"true\" textblock=\"true\" style=\"font-weight: 400; margin-top: 0px; margin-bottom: 0px; font-size: 14pt; line-height: 1.2; padding-bottom: 0px; padding-top: 0px; padding-left: 0px; text-align: left; font-family: Arial;\" data-syno-style=\"{&quot;lineHeight&quot;:&quot;1&quot;,&quot;paddingBottom&quot;:&quot;&quot;,&quot;paddingTop&quot;:&quot;&quot;,&quot;paddingLeft&quot;:&quot;0pt&quot;,&quot;textAlign&quot;:&quot;&quot;}\" data-syno-marks=\"[{&quot;_&quot;:&quot;font_size&quot;,&quot;value&quot;:&quot;14pt&quot;}]\" class=\"syno-o-doc-pm-paragraph\"><span pm-ignore=\"keep\" style=\"margin-left: 30px;\"></span><span style=\"font-size: 14pt;\"><span style=\"font-family: Times New Roman;\"><strong><span data-syno-text=\"true\">Административные:</span></strong></span></span></p><ul><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страхование собственности (имущества);</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аренда земли (кроме земель сельскохозяйственного назначения);</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затраты на содержание обеспечивающих служб и подразделений </span></span><span data-syno-inline=\"true\"><span linebreak=\"true\" synobr=\"true\"><br></span></span><span style=\"font-family: Times New Roman;\"><span data-syno-text=\"true\">(без затрат на оплату труда);</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затраты на содержание административных зданий (отопление, освещение, канализация, водоснабжение, вентиляция, и т.д.);</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оплата лицензий на право деятельности; затраты на социально-бытовые нужды; командировочные затраты;</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представительские расходы; оплата расходов на связь; канцелярские расходы и т.д.</span></span></span></p></li></ul><p data-syno-indent=\"true\" textblock=\"true\" style=\"font-weight: 400; margin-top: 0px; margin-bottom: 0px; font-size: 14pt; line-height: 1.2; padding-bottom: 0px; padding-top: 0px; padding-left: 0px; text-align: left; font-family: Arial;\" data-syno-style=\"{&quot;lineHeight&quot;:&quot;1&quot;,&quot;paddingBottom&quot;:&quot;&quot;,&quot;paddingTop&quot;:&quot;&quot;,&quot;paddingLeft&quot;:&quot;0pt&quot;,&quot;textAlign&quot;:&quot;&quot;}\" data-syno-marks=\"[{&quot;_&quot;:&quot;font_size&quot;,&quot;value&quot;:&quot;14pt&quot;}]\" class=\"syno-o-doc-pm-paragraph\"><span pm-ignore=\"keep\" style=\"margin-left: 30px;\"></span><span style=\"font-size: 14pt;\"><span style=\"font-family: Times New Roman;\"><strong><span data-syno-text=\"true\">Сбытовые:</span></strong></span></span></p><ul><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транспортные затраты (без внутризаводских);</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тара и упаковочные материалы (кроме тары, отпускаемой покупателю вместе с готовой продукцией – учитывается в составе прямых материальных затрат);</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комиссионные сборы, включая отчисления сбытовым организациям; гарантийный ремонт и обслуживание;</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затраты на маркетинг и рекламу.</span></span></span></p><ol><li><ol><li><p textblock=\"true\" style=\"font-weight: 400; margin-top: 0px; margin-bottom: 0px; font-size: 14pt; line-height: 1.2; padding-bottom: 0px; padding-top: 0px; padding-left: 24px; text-align: left; font-family: Arial;\" data-syno-style=\"{&quot;lineHeight&quot;:&quot;1&quot;,&quot;paddingBottom&quot;:&quot;&quot;,&quot;paddingTop&quot;:&quot;&quot;,&quot;paddingLeft&quot;:&quot;18pt&quot;,&quot;textAlign&quot;:&quot;&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Капитальные затраты и амортизация</span></strong></span></span></p></li></ol></li></ol></li></ul><div class=\"syno-o-doc-pm-block\" style=\"margin-right: -8.379999999999995px;\"><table synotable=\"aaFousMnJr\" style=\"border-collapse: collapse; table-layout: fixed; width: 632px;\" class=\"syno-o-doc-pm-table\"><colgroup><col style=\"width: 30px;\"><col style=\"width: 160px;\"><col style=\"width: 66px;\"><col style=\"width: 75px;\"><col style=\"width: 66px;\"><col style=\"width: 56px;\"><col style=\"width: 22px;\"><col style=\"width: 22px;\"><col style=\"width: 22px;\"><col style=\"width: 113px;\"></colgroup><tbody><tr style=\"height: 19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span></span></span></p></div></div></td><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Наименование статей капитальных затрат</span></span></span></p></div></div></td><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5.2px; text-align: center; font-family: Arial;\" data-syno-style=\"{&quot;lineHeight&quot;:&quot;1.15&quot;,&quot;paddingBottom&quot;:&quot;&quot;,&quot;paddingTop&quot;:&quot;&quot;,&quot;paddingLeft&quot;:&quot;3.9pt&quot;,&quot;textAlign&quot;:&quot;center&quot;}\" data-syno-marks=\"[{&quot;_&quot;:&quot;font_size&quot;,&quot;value&quot;:&quot;12pt&quot;}]\" class=\"syno-o-doc-pm-paragraph\"><span style=\"font-size: 12pt;\"><span style=\"font-family: Times New Roman;\"><span data-syno-text=\"true\">Норма аморти-зации (%)</span></span></span></p></div></div></td><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Интервал ввода в</span></span></span></p><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эксплуа-</span></span><span data-syno-inline=\"true\"><span linebreak=\"true\" synobr=\"true\"><br></span></span><span style=\"font-family: Times New Roman;\"><span data-syno-text=\"true\">та цию</span></span></span></p></div></div></td><td rowspan=\"2\" colspan=\"2\"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Общая стоимость затрат (валюта платежа)</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4\"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18.33px; text-align: center; font-family: Arial;\" data-syno-style=\"{&quot;lineHeight&quot;:&quot;1.15&quot;,&quot;paddingBottom&quot;:&quot;&quot;,&quot;paddingTop&quot;:&quot;&quot;,&quot;paddingLeft&quot;:&quot;13.75pt&quot;,&quot;textAlign&quot;:&quot;center&quot;}\" data-syno-marks=\"[{&quot;_&quot;:&quot;font_size&quot;,&quot;value&quot;:&quot;12pt&quot;}]\" class=\"syno-o-doc-pm-paragraph\"><span style=\"font-size: 12pt;\"><span style=\"font-family: Times New Roman;\"><span data-syno-text=\"true\">В т.ч. по интервалам</span></span></span></p><p textblock=\"true\" style=\"font-weight: 400; margin-top: 0px; margin-bottom: 0px; font-size: 12pt; line-height: 1.38; padding-bottom: 0px; padding-top: 0px; padding-left: 19.13px; text-align: center; font-family: Arial;\" data-syno-style=\"{&quot;lineHeight&quot;:&quot;1.15&quot;,&quot;paddingBottom&quot;:&quot;&quot;,&quot;paddingTop&quot;:&quot;&quot;,&quot;paddingLeft&quot;:&quot;14.35pt&quot;,&quot;textAlign&quot;:&quot;center&quot;}\" data-syno-marks=\"[{&quot;_&quot;:&quot;font_size&quot;,&quot;value&quot;:&quot;12pt&quot;}]\" class=\"syno-o-doc-pm-paragraph\"><span style=\"font-size: 12pt;\"><span style=\"font-family: Times New Roman;\"><span data-syno-text=\"true\">планирования (мес.)</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r><tr style=\"height: 28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p textblock=\"true\" style=\"font-weight: 400; margin-top: 0px; margin-bottom: 0px; font-size: 12pt; line-height: 1.38; padding-bottom: 0px; padding-top: 0px; padding-left: 3.53px; text-align: center; font-family: Arial;\" data-syno-style=\"{&quot;lineHeight&quot;:&quot;1.15&quot;,&quot;paddingBottom&quot;:&quot;&quot;,&quot;paddingTop&quot;:&quot;&quot;,&quot;paddingLeft&quot;:&quot;2.65pt&quot;,&quot;textAlign&quot;:&quot;center&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Ввод </span></span><span data-syno-inline=\"true\"><span linebreak=\"true\" synobr=\"true\"><br></span></span><span style=\"font-family: Times New Roman;\"><span data-syno-text=\"true\">в эксплуатацию</span></span></span></p></div></div></td></tr><tr style=\"height: 12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1.</span></span></span></p></div></div></td><td rowspan=\"1\" colspan=\"3\"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Строительно-монтажные работы</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2\"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67px; text-align: left; font-family: Arial;\" data-syno-style=\"{&quot;lineHeight&quot;:&quot;1.15&quot;,&quot;paddingBottom&quot;:&quot;&quot;,&quot;paddingTop&quot;:&quot;&quot;,&quot;paddingLeft&quot;:&quot;2.75pt&quot;,&quot;textAlign&quot;:&quot;&quot;}\" data-syno-marks=\"[{&quot;_&quot;:&quot;font_size&quot;,&quot;value&quot;:&quot;12pt&quot;}]\" class=\"syno-o-doc-pm-paragraph\"><span style=\"font-size: 12pt;\"><span style=\"font-family: Times New Roman;\"><span data-syno-text=\"true\">с НДС</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2\"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9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2.</span></span></span></p></div></div></td><td rowspan=\"1\" colspan=\"3\"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Оборудование, машины и механизмы и т.п.</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67px; text-align: center; font-family: Arial;\" data-syno-style=\"{&quot;lineHeight&quot;:&quot;1.15&quot;,&quot;paddingBottom&quot;:&quot;&quot;,&quot;paddingTop&quot;:&quot;&quot;,&quot;paddingLeft&quot;:&quot;2.75pt&quot;,&quot;textAlign&quot;:&quot;center&quot;}\" data-syno-marks=\"[{&quot;_&quot;:&quot;font_size&quot;,&quot;value&quot;:&quot;12pt&quot;}]\" class=\"syno-o-doc-pm-paragraph\"><span style=\"font-size: 12pt;\"><span style=\"font-family: Times New Roman;\"><span data-syno-text=\"true\">с НДС и тамож. пошл.</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6px; text-align: center; font-family: Arial;\" data-syno-style=\"{&quot;lineHeight&quot;:&quot;1.15&quot;,&quot;paddingBottom&quot;:&quot;&quot;,&quot;paddingTop&quot;:&quot;&quot;,&quot;paddingLeft&quot;:&quot;2.7pt&quot;,&quot;textAlign&quot;:&quot;center&quot;}\" data-syno-marks=\"[{&quot;_&quot;:&quot;font_size&quot;,&quot;value&quot;:&quot;12pt&quot;}]\" class=\"syno-o-doc-pm-paragraph\"><span style=\"font-size: 12pt;\"><span style=\"font-family: Times New Roman;\"><span data-syno-text=\"true\">тамож.</span></span></span></p><p textblock=\"true\" style=\"font-weight: 400; margin-top: 0px; margin-bottom: 0px; font-size: 12pt; line-height: 1.38; padding-bottom: 0px; padding-top: 0px; padding-left: 3.6px; text-align: center; font-family: Arial;\" data-syno-style=\"{&quot;lineHeight&quot;:&quot;1.15&quot;,&quot;paddingBottom&quot;:&quot;&quot;,&quot;paddingTop&quot;:&quot;&quot;,&quot;paddingLeft&quot;:&quot;2.7pt&quot;,&quot;textAlign&quot;:&quot;center&quot;}\" data-syno-marks=\"[{&quot;_&quot;:&quot;font_size&quot;,&quot;value&quot;:&quot;12pt&quot;}]\" class=\"syno-o-doc-pm-paragraph\"><span style=\"font-size: 12pt;\"><span style=\"font-family: Times New Roman;\"><span data-syno-text=\"true\">пошл.</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3.</span></span></span></p></div></div></td><td rowspan=\"1\" colspan=\"3\"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Прочие</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2\"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67px; text-align: left; font-family: Arial;\" data-syno-style=\"{&quot;lineHeight&quot;:&quot;1.15&quot;,&quot;paddingBottom&quot;:&quot;&quot;,&quot;paddingTop&quot;:&quot;&quot;,&quot;paddingLeft&quot;:&quot;2.75pt&quot;,&quot;textAlign&quot;:&quot;&quot;}\" data-syno-marks=\"[{&quot;_&quot;:&quot;font_size&quot;,&quot;value&quot;:&quot;12pt&quot;}]\" class=\"syno-o-doc-pm-paragraph\"><span style=\"font-size: 12pt;\"><span style=\"font-family: Times New Roman;\"><span data-syno-text=\"true\">с НДС</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2\"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2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4.</span></span></span></p></div></div></td><td rowspan=\"1\" colspan=\"3\"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Всего капитальных затрат</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2\"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body><div><div class=\"syno-o-doc-table-resize-bar syno-o-doc-table-resize-hbar\"></div><div class=\"syno-o-doc-table-resize-bar syno-o-doc-table-resize-vbar\"></div></div></table></div><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таблице указываются </span><strong><span data-syno-text=\"true\">предстоящие затраты капитального характера</span></strong><span data-syno-text=\"true\">. Стоимость затрат и их распределение по интервалам планирования должны соответствовать условиям платежа в контрактах (договорах), приведенных в Приложениях к бизнес-плану (при наличии данных контактов на момент составления бизнес-плана). Номер интервала ввода в эксплуатацию соответствует интервалу планирования, в котором соответствующий актив ставится на баланс и начинает амортизироваться.</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К прочим капитальным затратам относятся:</span></span></span></p><ul><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проектно-изыскательские работы;</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услуги по оценке имущества, разработке/экспертизе бизнес-плана, строительному аудиту/техническому надзору;</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приобретение земельных участков и объектов природопользования;</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приобретение зданий, сооружений, объектов транспортного хозяйства;</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приобретение нематериальных активов;</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и т.п.</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При наличии осуществленных капитальных вложений </span></strong></span><span data-syno-inline=\"true\"><span linebreak=\"true\" synobr=\"true\"><br></span></span><span style=\"font-family: Times New Roman;\"><span data-syno-text=\"true\">и необходимости учета их амортизации в расчетах по проекту, они описываются в отдельной аналогичной таблице (без расшифровки </span></span><span data-syno-inline=\"true\"><span linebreak=\"true\" synobr=\"true\"><br></span></span><span style=\"font-family: Times New Roman;\"><span data-syno-text=\"true\">по интервалам).</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Необходимо подтверждение сумм, осуществленных и предстоящих капитальных вложений путем проведения строительного аудита (осуществляет независимая надзорная компания).</span></span></span></p><ol><li><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Обоснование потребности в оборотном капитале </span></strong><span data-syno-text=\"true\">(указываются исходя из потребностей предприятия при работе на полную (проектную) мощность).</span></span></span></p></li></ol></li></ol></li></ol><div class=\"syno-o-doc-pm-block\" style=\"margin-right: -25.379999999999995px;\"><table synotable=\"rJkajeIv6r\" style=\"border-collapse: collapse; table-layout: fixed; width: 649px;\" class=\"syno-o-doc-pm-table\"><colgroup><col style=\"width: 28px;\"><col style=\"width: 113px;\"><col style=\"width: 85px;\"><col style=\"width: 66px;\"><col style=\"width: 75px;\"><col style=\"width: 66px;\"><col style=\"width: 75px;\"><col style=\"width: 75px;\"><col style=\"width: 66px;\"></colgroup><tbody><tr style=\"height: 1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33px; text-align: center; font-family: Arial;\" data-syno-style=\"{&quot;lineHeight&quot;:&quot;1.15&quot;,&quot;paddingBottom&quot;:&quot;&quot;,&quot;paddingTop&quot;:&quot;&quot;,&quot;paddingLeft&quot;:&quot;3.25pt&quot;,&quot;textAlign&quot;:&quot;center&quot;}\" data-syno-marks=\"[{&quot;_&quot;:&quot;font_size&quot;,&quot;value&quot;:&quot;12pt&quot;}]\" class=\"syno-o-doc-pm-paragraph\"><span style=\"font-size: 12pt;\"><span style=\"font-family: Times New Roman;\"><span data-syno-text=\"true\">Наименование нормируемых</span></span></span></p><p textblock=\"true\" style=\"font-weight: 400; margin-top: 0px; margin-bottom: 0px; font-size: 12pt; line-height: 1.38; padding-bottom: 0px; padding-top: 0px; padding-left: 4.33px; text-align: center; font-family: Arial;\" data-syno-style=\"{&quot;lineHeight&quot;:&quot;1.15&quot;,&quot;paddingBottom&quot;:&quot;&quot;,&quot;paddingTop&quot;:&quot;&quot;,&quot;paddingLeft&quot;:&quot;3.25pt&quot;,&quot;textAlign&quot;:&quot;center&quot;}\" data-syno-marks=\"[{&quot;_&quot;:&quot;font_size&quot;,&quot;value&quot;:&quot;12pt&quot;}]\" class=\"syno-o-doc-pm-paragraph\"><span style=\"font-size: 12pt;\"><span style=\"font-family: Times New Roman;\"><span data-syno-text=\"true\">текущих активов </span></span><span data-syno-inline=\"true\"><span linebreak=\"true\" synobr=\"true\"><br></span></span><span style=\"font-family: Times New Roman;\"><span data-syno-text=\"true\">и пассивов</span></span></span></p></div></div></td><td rowspan=\"1\" colspan=\"2\"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Формирование </span></span><span data-syno-inline=\"true\"><span linebreak=\"true\" synobr=\"true\"><br></span></span><span style=\"font-family: Times New Roman;\"><span data-syno-text=\"true\">запасов и резервов</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4\"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Договорные условия </span></span><span data-syno-inline=\"true\"><span linebreak=\"true\" synobr=\"true\"><br></span></span><span style=\"font-family: Times New Roman;\"><span data-syno-text=\"true\">поставок и оплаты</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px; text-align: center; font-family: Arial;\" data-syno-style=\"{&quot;lineHeight&quot;:&quot;1.15&quot;,&quot;paddingBottom&quot;:&quot;&quot;,&quot;paddingTop&quot;:&quot;&quot;,&quot;paddingLeft&quot;:&quot;1.5pt&quot;,&quot;textAlign&quot;:&quot;center&quot;}\" data-syno-marks=\"[{&quot;_&quot;:&quot;font_size&quot;,&quot;value&quot;:&quot;12pt&quot;}]\" class=\"syno-o-doc-pm-paragraph\"><span style=\"font-size: 12pt;\"><span style=\"font-family: Times New Roman;\"><span data-syno-text=\"true\">Незавер- шенное произ-</span></span></span></p><p textblock=\"true\" style=\"font-weight: 400; margin-top: 0px; margin-bottom: 0px; font-size: 12pt; line-height: 1.38; padding-bottom: 0px; padding-top: 0px; padding-left: 2px; text-align: center; font-family: Arial;\" data-syno-style=\"{&quot;lineHeight&quot;:&quot;1.15&quot;,&quot;paddingBottom&quot;:&quot;&quot;,&quot;paddingTop&quot;:&quot;&quot;,&quot;paddingLeft&quot;:&quot;1.5pt&quot;,&quot;textAlign&quot;:&quot;center&quot;}\" data-syno-marks=\"[{&quot;_&quot;:&quot;font_size&quot;,&quot;value&quot;:&quot;12pt&quot;}]\" class=\"syno-o-doc-pm-paragraph\"><span style=\"font-size: 12pt;\"><span style=\"font-family: Times New Roman;\"><span data-syno-text=\"true\">водство</span></span></span></p></div></div></td></tr><tr style=\"height: 1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1.</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33px; text-align: left; font-family: Arial;\" data-syno-style=\"{&quot;lineHeight&quot;:&quot;1.15&quot;,&quot;paddingBottom&quot;:&quot;&quot;,&quot;paddingTop&quot;:&quot;&quot;,&quot;paddingLeft&quot;:&quot;3.25pt&quot;,&quot;textAlign&quot;:&quot;&quot;}\" data-syno-marks=\"[{&quot;_&quot;:&quot;font_size&quot;,&quot;value&quot;:&quot;12pt&quot;}]\" class=\"syno-o-doc-pm-paragraph\"><span style=\"font-size: 12pt;\"><span style=\"font-family: Times New Roman;\"><span data-syno-text=\"true\">Готовая продукция</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73px; text-align: center; font-family: Arial;\" data-syno-style=\"{&quot;lineHeight&quot;:&quot;1.15&quot;,&quot;paddingBottom&quot;:&quot;&quot;,&quot;paddingTop&quot;:&quot;&quot;,&quot;paddingLeft&quot;:&quot;2.8pt&quot;,&quot;textAlign&quot;:&quot;center&quot;}\" data-syno-marks=\"[{&quot;_&quot;:&quot;font_size&quot;,&quot;value&quot;:&quot;12pt&quot;}]\" class=\"syno-o-doc-pm-paragraph\"><span style=\"font-size: 12pt;\"><span style=\"font-family: Times New Roman;\"><span data-syno-text=\"true\">Страховой запас (дни)</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73px; text-align: center; font-family: Arial;\" data-syno-style=\"{&quot;lineHeight&quot;:&quot;1.15&quot;,&quot;paddingBottom&quot;:&quot;&quot;,&quot;paddingTop&quot;:&quot;&quot;,&quot;paddingLeft&quot;:&quot;2.8pt&quot;,&quot;textAlign&quot;:&quot;center&quot;}\" data-syno-marks=\"[{&quot;_&quot;:&quot;font_size&quot;,&quot;value&quot;:&quot;12pt&quot;}]\" class=\"syno-o-doc-pm-paragraph\"><span style=\"font-size: 12pt;\"><span style=\"font-family: Times New Roman;\"><span data-syno-text=\"true\">Период оборота (дни)</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Доля авансово-го платежа </span></span><span data-syno-inline=\"true\"><span linebreak=\"true\" synobr=\"true\"><br></span></span><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Срок поставки (дни)</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87px; text-align: center; font-family: Arial;\" data-syno-style=\"{&quot;lineHeight&quot;:&quot;1.15&quot;,&quot;paddingBottom&quot;:&quot;&quot;,&quot;paddingTop&quot;:&quot;&quot;,&quot;paddingLeft&quot;:&quot;2.9pt&quot;,&quot;textAlign&quot;:&quot;center&quot;}\" data-syno-marks=\"[{&quot;_&quot;:&quot;font_size&quot;,&quot;value&quot;:&quot;12pt&quot;}]\" class=\"syno-o-doc-pm-paragraph\"><span style=\"font-size: 12pt;\"><span style=\"font-family: Times New Roman;\"><span data-syno-text=\"true\">Доля отсрочен-ного пла-</span></span></span></p><p textblock=\"true\" style=\"font-weight: 400; margin-top: 0px; margin-bottom: 0px; font-size: 12pt; line-height: 1.38; padding-bottom: 0px; padding-top: 0px; padding-left: 3.87px; text-align: center; font-family: Arial;\" data-syno-style=\"{&quot;lineHeight&quot;:&quot;1.15&quot;,&quot;paddingBottom&quot;:&quot;&quot;,&quot;paddingTop&quot;:&quot;&quot;,&quot;paddingLeft&quot;:&quot;2.9pt&quot;,&quot;textAlign&quot;:&quot;center&quot;}\" data-syno-marks=\"[{&quot;_&quot;:&quot;font_size&quot;,&quot;value&quot;:&quot;12pt&quot;}]\" class=\"syno-o-doc-pm-paragraph\"><span style=\"font-size: 12pt;\"><span style=\"font-family: Times New Roman;\"><span data-syno-text=\"true\">тежа (%)</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93px; text-align: center; font-family: Arial;\" data-syno-style=\"{&quot;lineHeight&quot;:&quot;1.15&quot;,&quot;paddingBottom&quot;:&quot;&quot;,&quot;paddingTop&quot;:&quot;&quot;,&quot;paddingLeft&quot;:&quot;2.95pt&quot;,&quot;textAlign&quot;:&quot;center&quot;}\" data-syno-marks=\"[{&quot;_&quot;:&quot;font_size&quot;,&quot;value&quot;:&quot;12pt&quot;}]\" class=\"syno-o-doc-pm-paragraph\"><span style=\"font-size: 12pt;\"><span style=\"font-family: Times New Roman;\"><span data-syno-text=\"true\">Срок отсрочки платежа</span></span></span></p><p textblock=\"true\" style=\"font-weight: 400; margin-top: 0px; margin-bottom: 0px; font-size: 12pt; line-height: 1.38; padding-bottom: 0px; padding-top: 0px; padding-left: 3.93px; text-align: center; font-family: Arial;\" data-syno-style=\"{&quot;lineHeight&quot;:&quot;1.15&quot;,&quot;paddingBottom&quot;:&quot;&quot;,&quot;paddingTop&quot;:&quot;&quot;,&quot;paddingLeft&quot;:&quot;2.95pt&quot;,&quot;textAlign&quot;:&quot;center&quot;}\" data-syno-marks=\"[{&quot;_&quot;:&quot;font_size&quot;,&quot;value&quot;:&quot;12pt&quot;}]\" class=\"syno-o-doc-pm-paragraph\"><span style=\"font-size: 12pt;\"><span style=\"font-family: Times New Roman;\"><span data-syno-text=\"true\">(дни)</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93px; text-align: center; font-family: Arial;\" data-syno-style=\"{&quot;lineHeight&quot;:&quot;1.15&quot;,&quot;paddingBottom&quot;:&quot;&quot;,&quot;paddingTop&quot;:&quot;&quot;,&quot;paddingLeft&quot;:&quot;2.95pt&quot;,&quot;textAlign&quot;:&quot;center&quot;}\" data-syno-marks=\"[{&quot;_&quot;:&quot;font_size&quot;,&quot;value&quot;:&quot;12pt&quot;}]\" class=\"syno-o-doc-pm-paragraph\"><span style=\"font-size: 12pt;\"><span style=\"font-family: Times New Roman;\"><span data-syno-text=\"true\">Цикл произ-водства (дни)</span></span></span></p></div></div></td></tr><tr style=\"height: 1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2.</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Прямые материальные затраты</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73px; text-align: center; font-family: Arial;\" data-syno-style=\"{&quot;lineHeight&quot;:&quot;1.15&quot;,&quot;paddingBottom&quot;:&quot;&quot;,&quot;paddingTop&quot;:&quot;&quot;,&quot;paddingLeft&quot;:&quot;2.8pt&quot;,&quot;textAlign&quot;:&quot;center&quot;}\" data-syno-marks=\"[{&quot;_&quot;:&quot;font_size&quot;,&quot;value&quot;:&quot;12pt&quot;}]\" class=\"syno-o-doc-pm-paragraph\"><span style=\"font-size: 12pt;\"><span style=\"font-family: Times New Roman;\"><span data-syno-text=\"true\">Страховой запас (дни)</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73px; text-align: center; font-family: Arial;\" data-syno-style=\"{&quot;lineHeight&quot;:&quot;1.15&quot;,&quot;paddingBottom&quot;:&quot;&quot;,&quot;paddingTop&quot;:&quot;&quot;,&quot;paddingLeft&quot;:&quot;2.8pt&quot;,&quot;textAlign&quot;:&quot;center&quot;}\" data-syno-marks=\"[{&quot;_&quot;:&quot;font_size&quot;,&quot;value&quot;:&quot;12pt&quot;}]\" class=\"syno-o-doc-pm-paragraph\"><span style=\"font-size: 12pt;\"><span style=\"font-family: Times New Roman;\"><span data-syno-text=\"true\">Период оборота (дни)</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Доля авансово-го платежа (%)</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0px; text-align: center; font-family: Arial;\" data-syno-style=\"{&quot;lineHeight&quot;:&quot;1.15&quot;,&quot;paddingBottom&quot;:&quot;&quot;,&quot;paddingTop&quot;:&quot;&quot;,&quot;paddingLeft&quot;:&quot;0pt&quot;,&quot;textAlign&quot;:&quot;center&quot;}\" data-syno-marks=\"[{&quot;_&quot;:&quot;font_size&quot;,&quot;value&quot;:&quot;12pt&quot;}]\" class=\"syno-o-doc-pm-paragraph\"><span style=\"font-size: 12pt;\"><span style=\"font-family: Times New Roman;\"><span data-syno-text=\"true\">Срок поставки (дни)</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87px; text-align: center; font-family: Arial;\" data-syno-style=\"{&quot;lineHeight&quot;:&quot;1.15&quot;,&quot;paddingBottom&quot;:&quot;&quot;,&quot;paddingTop&quot;:&quot;&quot;,&quot;paddingLeft&quot;:&quot;2.9pt&quot;,&quot;textAlign&quot;:&quot;center&quot;}\" data-syno-marks=\"[{&quot;_&quot;:&quot;font_size&quot;,&quot;value&quot;:&quot;12pt&quot;}]\" class=\"syno-o-doc-pm-paragraph\"><span style=\"font-size: 12pt;\"><span style=\"font-family: Times New Roman;\"><span data-syno-text=\"true\">Доля отсрочен- ного пла-</span></span></span></p><p textblock=\"true\" style=\"font-weight: 400; margin-top: 0px; margin-bottom: 0px; font-size: 12pt; line-height: 1.38; padding-bottom: 0px; padding-top: 0px; padding-left: 3.87px; text-align: center; font-family: Arial;\" data-syno-style=\"{&quot;lineHeight&quot;:&quot;1.15&quot;,&quot;paddingBottom&quot;:&quot;&quot;,&quot;paddingTop&quot;:&quot;&quot;,&quot;paddingLeft&quot;:&quot;2.9pt&quot;,&quot;textAlign&quot;:&quot;center&quot;}\" data-syno-marks=\"[{&quot;_&quot;:&quot;font_size&quot;,&quot;value&quot;:&quot;12pt&quot;}]\" class=\"syno-o-doc-pm-paragraph\"><span style=\"font-size: 12pt;\"><span style=\"font-family: Times New Roman;\"><span data-syno-text=\"true\">тежа (%)</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8px; text-align: center; font-family: Arial;\" data-syno-style=\"{&quot;lineHeight&quot;:&quot;1.15&quot;,&quot;paddingBottom&quot;:&quot;&quot;,&quot;paddingTop&quot;:&quot;&quot;,&quot;paddingLeft&quot;:&quot;2.85pt&quot;,&quot;textAlign&quot;:&quot;center&quot;}\" data-syno-marks=\"[{&quot;_&quot;:&quot;font_size&quot;,&quot;value&quot;:&quot;12pt&quot;}]\" class=\"syno-o-doc-pm-paragraph\"><span style=\"font-size: 12pt;\"><span style=\"font-family: Times New Roman;\"><span data-syno-text=\"true\">Срок отсрочки платежа</span></span></span></p><p textblock=\"true\" style=\"font-weight: 400; margin-top: 0px; margin-bottom: 0px; font-size: 12pt; line-height: 1.38; padding-bottom: 0px; padding-top: 0px; padding-left: 3.8px; text-align: center; font-family: Arial;\" data-syno-style=\"{&quot;lineHeight&quot;:&quot;1.15&quot;,&quot;paddingBottom&quot;:&quot;&quot;,&quot;paddingTop&quot;:&quot;&quot;,&quot;paddingLeft&quot;:&quot;2.85pt&quot;,&quot;textAlign&quot;:&quot;center&quot;}\" data-syno-marks=\"[{&quot;_&quot;:&quot;font_size&quot;,&quot;value&quot;:&quot;12pt&quot;}]\" class=\"syno-o-doc-pm-paragraph\"><span style=\"font-size: 12pt;\"><span style=\"font-family: Times New Roman;\"><span data-syno-text=\"true\">(дни)</span></span></span></p></div></div></td><td rowspan=\"2\" colspan=\"1\" style=\"display: table-cell; position: relative; border-left-color: #000000; border-left-style: solid; border-left-width: 1px; border-top-color: #000000; border-top-style: solid; border-top-width: 1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r><tr style=\"height: 1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none; position: relative; border-left-color: #000000; border-left-style: solid; border-left-width: 1px; border-top-color: #000000; border-top-style: solid; border-top-width: 1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r><tr style=\"height: 1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3.</span></span></span></p></div></div></td><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Накладные  расходы</span></span></span></p></div></div></td><td rowspan=\"1\" colspan=\"2\"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73px; text-align: center; font-family: Arial;\" data-syno-style=\"{&quot;lineHeight&quot;:&quot;1.15&quot;,&quot;paddingBottom&quot;:&quot;&quot;,&quot;paddingTop&quot;:&quot;&quot;,&quot;paddingLeft&quot;:&quot;2.8pt&quot;,&quot;textAlign&quot;:&quot;center&quot;}\" data-syno-marks=\"[{&quot;_&quot;:&quot;font_size&quot;,&quot;value&quot;:&quot;12pt&quot;}]\" class=\"syno-o-doc-pm-paragraph\"><span style=\"font-size: 12pt;\"><span style=\"font-family: Times New Roman;\"><span data-syno-text=\"true\">Резерв денежных средств (дни)</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4\" colspan=\"5\" style=\"display: table-cell;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r><tr style=\"height: 1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2\"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r><tr style=\"height: 1px;\" class=\"syno-o-doc-pm-table-row\"><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2.27px; text-align: center; font-family: Arial;\" data-syno-style=\"{&quot;lineHeight&quot;:&quot;1.15&quot;,&quot;paddingBottom&quot;:&quot;&quot;,&quot;paddingTop&quot;:&quot;&quot;,&quot;paddingLeft&quot;:&quot;1.7pt&quot;,&quot;textAlign&quot;:&quot;center&quot;}\" data-syno-marks=\"[{&quot;_&quot;:&quot;font_size&quot;,&quot;value&quot;:&quot;12pt&quot;}]\" class=\"syno-o-doc-pm-paragraph\"><span style=\"font-size: 12pt;\"><span style=\"font-family: Times New Roman;\"><span data-syno-text=\"true\">4.</span></span></span></p></div></div></td><td rowspan=\"2\"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7.13px; text-align: left; font-family: Arial;\" data-syno-style=\"{&quot;lineHeight&quot;:&quot;1.15&quot;,&quot;paddingBottom&quot;:&quot;&quot;,&quot;paddingTop&quot;:&quot;&quot;,&quot;paddingLeft&quot;:&quot;5.35pt&quot;,&quot;textAlign&quot;:&quot;&quot;}\" data-syno-marks=\"[{&quot;_&quot;:&quot;font_size&quot;,&quot;value&quot;:&quot;12pt&quot;}]\" class=\"syno-o-doc-pm-paragraph\"><span style=\"font-size: 12pt;\"><span style=\"font-family: Times New Roman;\"><span data-syno-text=\"true\">Заработная плата</span></span></span></p></div></div></td><td rowspan=\"1\" colspan=\"2\"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3.73px; text-align: center; font-family: Arial;\" data-syno-style=\"{&quot;lineHeight&quot;:&quot;1.15&quot;,&quot;paddingBottom&quot;:&quot;&quot;,&quot;paddingTop&quot;:&quot;&quot;,&quot;paddingLeft&quot;:&quot;2.8pt&quot;,&quot;textAlign&quot;:&quot;center&quot;}\" data-syno-marks=\"[{&quot;_&quot;:&quot;font_size&quot;,&quot;value&quot;:&quot;12pt&quot;}]\" class=\"syno-o-doc-pm-paragraph\"><span style=\"font-size: 12pt;\"><span style=\"font-family: Times New Roman;\"><span data-syno-text=\"true\">Период выплаты</span></span></span></p><p textblock=\"true\" style=\"font-weight: 400; margin-top: 0px; margin-bottom: 0px; font-size: 12pt; line-height: 1.38; padding-bottom: 0px; padding-top: 0px; padding-left: 3.73px; text-align: center; font-family: Arial;\" data-syno-style=\"{&quot;lineHeight&quot;:&quot;1.15&quot;,&quot;paddingBottom&quot;:&quot;&quot;,&quot;paddingTop&quot;:&quot;&quot;,&quot;paddingLeft&quot;:&quot;2.8pt&quot;,&quot;textAlign&quot;:&quot;center&quot;}\" data-syno-marks=\"[{&quot;_&quot;:&quot;font_size&quot;,&quot;value&quot;:&quot;12pt&quot;}]\" class=\"syno-o-doc-pm-paragraph\"><span style=\"font-size: 12pt;\"><span style=\"font-family: Times New Roman;\"><span data-syno-text=\"true\">(раз/мес.)</span></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r><tr style=\"height: 1px;\" class=\"syno-o-doc-pm-table-row\"><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2\"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2pt&quot;}]\" class=\"syno-o-doc-pm-paragraph\"><span style=\"font-size: 12pt;\"><span data-syno-text=\"true\"> </span></span></p></div></div></td><td rowspan=\"1\" colspan=\"1\" style=\"display: none;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d rowspan=\"1\" colspan=\"1\" style=\"display: none; position: relative; border-left-color: #000000; border-left-style: solid; border-left-width: 1px; border-top-color: #000000; border-top-style: solid; border-top-width: 0px; border-right-color: #000000; border-right-style: solid; border-right-width: 0px; border-bottom-color: #000000; border-bottom-style: solid; border-bottom-width: 0px; vertical-align: middle; background-color: transparent;\" class=\"syno-o-doc-pm-table-cell\"><div class=\"syno-o-doc-pm-table-cell-content\"><div class=\"syno-o-doc-pm-table-cell-content-container\"><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td></tr></tbody><div><div class=\"syno-o-doc-table-resize-bar syno-o-doc-table-resize-hbar\"></div><div class=\"syno-o-doc-table-resize-bar syno-o-doc-table-resize-vbar\"></div></div></table></div><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Показатели проекта, объединенные в данной таблице, используются </span></span><span data-syno-inline=\"true\"><span linebreak=\"true\" synobr=\"true\"><br></span></span><span style=\"font-family: Times New Roman;\"><span data-syno-text=\"true\">для построения платежного цикла проекта, включающего в себя этапы закупок, транспортировки, хранения, производства и продаж, а также оценки на его основе потребности проекта в оборотных средствах.</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Готовая продукция </span></strong><span data-syno-text=\"true\">(с детализацией по видам выпускаемой продукции)</span><strong><span data-syno-text=\"true\">:</span></strong></span></span></p><ul><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период оборота (дни)- средний период отгрузки покупателям месячного объема производства со склада предприятия;</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срок поставки (дни) - средний срок поставки покупателям готовой продукции после получения аванса (предоплаты);</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срок отсрочки платежа (дни) - средний срок отсрочки платежа </span></span><span data-syno-inline=\"true\"><span linebreak=\"true\" synobr=\"true\"><br></span></span><span style=\"font-family: Times New Roman;\"><span data-syno-text=\"true\">(до факта поставки или позже), предоставленный покупателям за поставленную готовую продукцию;</span></span></span></p></li><li><p textblock=\"true\" style=\"font-weight: 400; margin-top: 0px; margin-bottom: 0px; font-size: 14pt; line-height: 1.2; padding-bottom: 0px; padding-top: 0px; padding-left: 38.47px; text-align: justify; font-family: Arial;\" data-syno-style=\"{&quot;lineHeight&quot;:&quot;1&quot;,&quot;paddingBottom&quot;:&quot;&quot;,&quot;paddingTop&quot;:&quot;&quot;,&quot;paddingLeft&quot;:&quot;28.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цикл производства (дни) - средняя продолжительность цикла производства (незавершенное производство).</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Прямые материальные затраты </span></strong><span data-syno-text=\"true\">(с детализацией по основным статьям прямых материальных затрат)</span><strong><span data-syno-text=\"true\">:</span></strong></span></span></p><ul><li><p textblock=\"true\" style=\"font-weight: 400; margin-top: 0px; margin-bottom: 0px; font-size: 14pt; line-height: 1.2; padding-bottom: 0px; padding-top: 0px; padding-left: 48px; text-align: justify; font-family: Arial;\" data-syno-style=\"{&quot;lineHeight&quot;:&quot;1&quot;,&quot;paddingBottom&quot;:&quot;&quot;,&quot;paddingTop&quot;:&quot;&quot;,&quot;paddingLeft&quot;:&quot;36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период оборота (дни) – средний период закупки у поставщиков сырья, материалов и пр.; </span></span></span></p></li><li><p textblock=\"true\" style=\"font-weight: 400; margin-top: 0px; margin-bottom: 0px; font-size: 14pt; line-height: 1.2; padding-bottom: 0px; padding-top: 0px; padding-left: 48px; text-align: justify; font-family: Arial;\" data-syno-style=\"{&quot;lineHeight&quot;:&quot;1&quot;,&quot;paddingBottom&quot;:&quot;&quot;,&quot;paddingTop&quot;:&quot;&quot;,&quot;paddingLeft&quot;:&quot;36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срок поставки (дни) – средний срок получения от поставщиков сырья, материалов и пр. после оплаты аванса (предоплаты);</span></span></span></p></li><li><p textblock=\"true\" style=\"font-weight: 400; margin-top: 0px; margin-bottom: 0px; font-size: 14pt; line-height: 1.2; padding-bottom: 0px; padding-top: 0px; padding-left: 48px; text-align: justify; font-family: Arial;\" data-syno-style=\"{&quot;lineHeight&quot;:&quot;1&quot;,&quot;paddingBottom&quot;:&quot;&quot;,&quot;paddingTop&quot;:&quot;&quot;,&quot;paddingLeft&quot;:&quot;36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срок отсрочки платежа (дни) – средний срок отсрочки платежа, предоставленный поставщиками за поставленное сырье, материалы и пр.</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Заработная плата:</span></strong></span></span></p><ul><li><p textblock=\"true\" style=\"font-weight: 400; margin-top: 0px; margin-bottom: 0px; font-size: 14pt; line-height: 1.2; padding-bottom: 0px; padding-top: 0px; padding-left: 42.13px; text-align: left; font-family: Arial;\" data-syno-style=\"{&quot;lineHeight&quot;:&quot;1&quot;,&quot;paddingBottom&quot;:&quot;&quot;,&quot;paddingTop&quot;:&quot;&quot;,&quot;paddingLeft&quot;:&quot;31.6pt&quot;,&quot;textAlign&quot;:&quot;&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задолженность по оплате труда </span><strong><span data-syno-text=\"true\">- </span></strong><span data-syno-text=\"true\">период выплаты заработной платы (один или два раза в месяц).</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Статьи текущих активов и пассивов, не нашедшие отражения выше, </span></span><span data-syno-inline=\"true\"><span linebreak=\"true\" synobr=\"true\"><br></span></span><span style=\"font-family: Times New Roman;\"><span data-syno-text=\"true\">при необходимости описываются дополнительно к данной таблице.</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Условия поставок и оплаты должны соответствовать условиям договоров на закупку сырья, материалов и пр., а также поставку готовой продукции, приведенных в Приложении к бизнес- плану (при наличии данных договоров </span></span><span data-syno-inline=\"true\"><span linebreak=\"true\" synobr=\"true\"><br></span></span><span style=\"font-family: Times New Roman;\"><span data-syno-text=\"true\">на момент составления бизнес-плана).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Оценка потребности проекта в оборотных средствах </span></strong><span data-syno-text=\"true\">(чистого оборотного или рабочего капитала), как правило, осуществляется на основе норм оборота (обычно в днях) основных статей текущих активов и пассивов, исходя из потребностей предприятия при работе на полную (проектную) мощность (пункт 10.2.9).</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 этом необходимо запланировать наличие соответствующих средств на оплату сырья, материалов и комплектующих в интервалах планирования, предшествующих периоду их использования (с учетом объемов запасов, производства и условий оплаты), а поступление средств за готовую продукцию – в последующих интервалах планирования (с учетом длительности производственного цикла, объема запасов и условий оплаты готовой продукции). Кроме того, необходимо учитывать влияние на потребность </span></span><span data-syno-inline=\"true\"><span linebreak=\"true\" synobr=\"true\"><br></span></span><span style=\"font-family: Times New Roman;\"><span data-syno-text=\"true\">в оборотных средствах периодичности начисления и уплаты налогов (пункт 10.2.1.).</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10.3. Расчет прибылей</span></strong><span data-syno-text=\"true\">, </span><strong><span data-syno-text=\"true\">убытков и денежных потоков</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Проводится для каждого интервала планирования по методике, упомянутой в пункте 8.1.</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Отчет о прибылях и убытках.</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Представляет собой самую привычную форму финансовой оценки </span></span><span data-syno-inline=\"true\"><span linebreak=\"true\" synobr=\"true\"><br></span></span><span style=\"font-family: Times New Roman;\"><span data-syno-text=\"true\">(форма № 2 бухгалтерской отчетности предприятия). Назначение этой формы – анализ на каждом интервале планирования соотношения доходов предприятия (проекта), относимых в соответствии с учетной политикой предприятия </span></span><span data-syno-inline=\"true\"><span linebreak=\"true\" synobr=\"true\"><br></span></span><span style=\"font-family: Times New Roman;\"><span data-syno-text=\"true\">к данному периоду, со связанными с ними расходами, а также налоговыми выплатами и дивидендами.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Отчет о прибылях и убытках необходим для оценки эффективности текущей (хозяйственной) деятельности. Его анализ позволяет также оценить размер чистой прибыли, являющейся наряду с амортизацией одним </span></span><span data-syno-inline=\"true\"><span linebreak=\"true\" synobr=\"true\"><br></span></span><span style=\"font-family: Times New Roman;\"><span data-syno-text=\"true\">из основных источников денежных средств, для возврата займов, привлеченных на финансирование инвестиционных издержек проекта. Однако наличие и размер чистой прибыли не является единственным критерием успешности реализации инвестиционного проекта, так как используемые </span></span><span data-syno-inline=\"true\"><span linebreak=\"true\" synobr=\"true\"><br></span></span><span style=\"font-family: Times New Roman;\"><span data-syno-text=\"true\">в отчете о прибылях и убытках «доходы» и «расходы», как правило, </span></span><span data-syno-inline=\"true\"><span linebreak=\"true\" synobr=\"true\"><br></span></span><span style=\"font-family: Times New Roman;\"><span data-syno-text=\"true\">не отражают действительного движения денежных средств в данном интервале планирования. В частности, оплата сырья обычно происходит в интервалах планирования, предшествующих периоду их использования в производстве, </span></span><span data-syno-inline=\"true\"><span linebreak=\"true\" synobr=\"true\"><br></span></span><span style=\"font-family: Times New Roman;\"><span data-syno-text=\"true\">а поступление средств за готовую продукцию, произведенную в данном периоде, – в последующих интервалах планирования.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Отчет о движении денежных средств </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Предназначен для расчета денежного потока проекта и оценки </span></span><span data-syno-inline=\"true\"><span linebreak=\"true\" synobr=\"true\"><br></span></span><span style=\"font-family: Times New Roman;\"><span data-syno-text=\"true\">его финансовой реализуемости. Денежный поток проекта рассчитывается </span></span><span data-syno-inline=\"true\"><span linebreak=\"true\" synobr=\"true\"><br></span></span><span style=\"font-family: Times New Roman;\"><span data-syno-text=\"true\">на каждом интервале планирования проекта как сальдо притока и оттока денежных средств:</span></span></span></p><ul><li><p textblock=\"true\" style=\"font-weight: 400; margin-top: 0px; margin-bottom: 0px; font-size: 14pt; line-height: 1.2; padding-bottom: 0px; padding-top: 0px; padding-left: 42.13px; text-align: justify; font-family: Arial;\" data-syno-style=\"{&quot;lineHeight&quot;:&quot;1&quot;,&quot;paddingBottom&quot;:&quot;&quot;,&quot;paddingTop&quot;:&quot;&quot;,&quot;paddingLeft&quot;:&quot;31.6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trong><span data-syno-text=\"true\">приток</span></strong><span data-syno-text=\"true\">: поступления от реализации продукции (услуг), внереализационные доходы (продажа основных средств и пр.), увеличение акционерного (уставного) капитала за счет денежных взносов акционеров (учредителей), привлечение заемных средств (кредиты, ссуды, облигации);</span></span></span></p></li><li><p textblock=\"true\" style=\"font-weight: 400; margin-top: 0px; margin-bottom: 0px; font-size: 14pt; line-height: 1.2; padding-bottom: 0px; padding-top: 0px; padding-left: 42.13px; text-align: justify; font-family: Arial;\" data-syno-style=\"{&quot;lineHeight&quot;:&quot;1&quot;,&quot;paddingBottom&quot;:&quot;&quot;,&quot;paddingTop&quot;:&quot;&quot;,&quot;paddingLeft&quot;:&quot;31.6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trong><span data-syno-text=\"true\">отток:</span></strong><span data-syno-text=\"true\"> инвестиционные издержки, текущие затраты (без амортизации), налоги и отчисления, погашение займов и выплата процентов, выплата дивидендов.</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Основным условием финансовой реализуемости проекта является</span></strong><span data-syno-text=\"true\"> положительное значение накопленного денежного потока проекта (рассчитанного нарастающим итогом) на каждом интервале планирования проекта. Выполнение данного условия обеспечивается подбором соответствующих источников финансирования, покрывающих дефицит денежных средств на этапе осуществления капитальных затрат и формирования первоначальных оборотных средств.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Нехватка наличности в каком-либо из последующих интервалах планирования, как правило, означает «банкротство» проекта, то есть </span></span><span data-syno-inline=\"true\"><span linebreak=\"true\" synobr=\"true\"><br></span></span><span style=\"font-family: Times New Roman;\"><span data-syno-text=\"true\">его финансовую несостоятельность при данных условиях финансирования. </span></span><span data-syno-inline=\"true\"><span linebreak=\"true\" synobr=\"true\"><br></span></span><span style=\"font-family: Times New Roman;\"><span data-syno-text=\"true\">При этом расчет других показателей эффективности проекта теряет смысл.</span></span></span></p><ol><li><o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Оценка экономической эффективности проекта</span></strong></span></span></p></li></ol></li></ol><p data-syno-indent=\"true\" textblock=\"true\" style=\"font-weight: 400; margin-top: 0px; margin-bottom: 0px; font-size: 14pt; line-height: 1.2; padding-bottom: 0px; padding-top: 0px; padding-left: 0px; text-align: left; font-family: Arial;\" data-syno-style=\"{&quot;lineHeight&quot;:&quot;1&quot;,&quot;paddingBottom&quot;:&quot;&quot;,&quot;paddingTop&quot;:&quot;&quot;,&quot;paddingLeft&quot;:&quot;0pt&quot;,&quot;textAlign&quot;:&quot;&quot;}\" data-syno-marks=\"[{&quot;_&quot;:&quot;font_size&quot;,&quot;value&quot;:&quot;14pt&quot;}]\" class=\"syno-o-doc-pm-paragraph\"><span pm-ignore=\"keep\" style=\"margin-left: 30px;\"></span><span style=\"font-size: 14pt;\"><span style=\"font-family: Times New Roman;\"><span data-syno-text=\"true\">Показатели эффективности проекта, необходимые для расчета:</span></span></span></p><ul><li><p textblock=\"true\" style=\"font-weight: 400; margin-top: 0px; margin-bottom: 0px; font-size: 14pt; line-height: 1.2; padding-bottom: 0px; padding-top: 0px; padding-left: 24px; text-align: left; font-family: Arial;\" data-syno-style=\"{&quot;lineHeight&quot;:&quot;1&quot;,&quot;paddingBottom&quot;:&quot;&quot;,&quot;paddingTop&quot;:&quot;&quot;,&quot;paddingLeft&quot;:&quot;18pt&quot;,&quot;textAlign&quot;:&quot;&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Срок окупаемости (РВР);</span></span></span></p></li><li><p textblock=\"true\" style=\"font-weight: 400; margin-top: 0px; margin-bottom: 0px; font-size: 14pt; line-height: 1.2; padding-bottom: 0px; padding-top: 0px; padding-left: 24px; text-align: left; font-family: Arial;\" data-syno-style=\"{&quot;lineHeight&quot;:&quot;1&quot;,&quot;paddingBottom&quot;:&quot;&quot;,&quot;paddingTop&quot;:&quot;&quot;,&quot;paddingLeft&quot;:&quot;18pt&quot;,&quot;textAlign&quot;:&quot;&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Дисконтированный срок окупаемости (DPBP); </span></span></span></p></li><li><p textblock=\"true\" style=\"font-weight: 400; margin-top: 0px; margin-bottom: 0px; font-size: 14pt; line-height: 1.2; padding-bottom: 0px; padding-top: 0px; padding-left: 24px; text-align: left; font-family: Arial;\" data-syno-style=\"{&quot;lineHeight&quot;:&quot;1&quot;,&quot;paddingBottom&quot;:&quot;&quot;,&quot;paddingTop&quot;:&quot;&quot;,&quot;paddingLeft&quot;:&quot;18pt&quot;,&quot;textAlign&quot;:&quot;&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Чистая приведенная стоимость (NPV);</span></span></span></p></li><li><p textblock=\"true\" style=\"font-weight: 400; margin-top: 0px; margin-bottom: 0px; font-size: 14pt; line-height: 1.2; padding-bottom: 0px; padding-top: 0px; padding-left: 24px; text-align: left; font-family: Arial;\" data-syno-style=\"{&quot;lineHeight&quot;:&quot;1&quot;,&quot;paddingBottom&quot;:&quot;&quot;,&quot;paddingTop&quot;:&quot;&quot;,&quot;paddingLeft&quot;:&quot;18pt&quot;,&quot;textAlign&quot;:&quot;&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Внутренняя норма доходности (IRR).</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Ни один из перечисленных показателей эффективности сам по себе </span></span><span data-syno-inline=\"true\"><span linebreak=\"true\" synobr=\"true\"><br></span></span><span style=\"font-family: Times New Roman;\"><span data-syno-text=\"true\">не является достаточным для принятия проекта к реализации. Важную роль играет соотношение и распределение во времени собственных </span></span><span data-syno-inline=\"true\"><span linebreak=\"true\" synobr=\"true\"><br></span></span><span style=\"font-family: Times New Roman;\"><span data-syno-text=\"true\">и привлекаемых для осуществления проекта средств, а также другие факторы, некоторые из которых поддаются только качественному </span></span><span data-syno-inline=\"true\"><span linebreak=\"true\" synobr=\"true\"><br></span></span><span style=\"font-family: Times New Roman;\"><span data-syno-text=\"true\">(а не формальному) анализу.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Срок окупаемости (РВР)</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Сроком окупаемости (\"простым\") называется продолжительность периода от начала расчета до наиболее раннего интервала планирования, после которого чистый доход проекта становится и в дальнейшем остается положительным.</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Чистый доход проекта рассчитывается нарастающим итогом на основе следующего денежного потока:</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trong><span data-syno-text=\"true\">приток: </span></strong><span data-syno-text=\"true\">поступления от реализации продукции (услуг), внереализационные доходы;</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trong><span data-syno-text=\"true\">отток: </span></strong><span data-syno-text=\"true\">инвестиционные издержки, текущие затраты (без амортизации), налоги и отчисления.</span></span></span></p></li></u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Дисконтированный срок окупаемости (DPBP)</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Дисконтированный срок окупаемости определяется аналогично «простому», но на основе чистого дисконтированного дохода и, соответственно, дисконтированного денежного потока проекта.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 этом значения денежного потока приводятся к начальному интервалу планирования (дисконтируются) путем умножения на соответствующий коэффициент дисконтирования:</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dt =1 / (1 + Dt)t-1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где:    t - номер интервала планирования (t = 1,2,...);</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Dt – зависит от длительности t-го интервала планирования и равна: </span></span></span><span style=\"font-size: 8pt;\"><span style=\"font-family: Times New Roman;\"><strong><span data-syno-text=\"true\">12</span></strong></span></span><span style=\"font-size: 14pt;\"><span style=\"font-family: Times New Roman;\"><strong><span data-syno-text=\"true\"> </span></strong><span data-syno-text=\"true\">  D  </span></span><span data-syno-inline=\"true\"><span linebreak=\"true\" synobr=\"true\"><br></span></span></span></p><p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style=\"font-size: 14pt;\"><span style=\"font-family: Times New Roman;\"><span data-syno-text=\"true\">для месяца;               для квартала;  </span></span></span><span style=\"font-size: 8pt;\"><span style=\"font-family: Times New Roman;\"><span data-syno-text=\"true\">2           </span></span></span><span style=\"font-size: 14pt;\"><span style=\"font-family: Times New Roman;\"><span data-syno-text=\"true\">D для полугодия; D для годового интервала;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D – принятая ставка дисконтирования проекта (ее обоснование приводится ниже).</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Чистая приведенная стоимость (NPV)</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Важнейшим показателем эффективности проекта является чистая приведенная стоимость, которая равна значению чистого дисконтированного дохода на последнем интервале планирования (накопленный дисконтированный эффект, рассчитанный нарастающим итогом за период расчета проекта).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Чистая приведенная стоимость характеризует превышение суммарных денежных поступлений над суммарными затратами для данного проекта </span></span><span data-syno-inline=\"true\"><span linebreak=\"true\" synobr=\"true\"><br></span></span><span style=\"font-family: Times New Roman;\"><span data-syno-text=\"true\">с учетом в составе ставки дисконтирования: темпа инфляции, минимальной нормы прибыли кредитора и поправки на риск проекта.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Необходимо, чтобы чистая приведенная стоимость проекта была положительна.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Внутренняя норма доходности (IRR)</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Внутренней нормой доходности называется ставка дисконтирования, </span></span><span data-syno-inline=\"true\"><span linebreak=\"true\" synobr=\"true\"><br></span></span><span style=\"font-family: Times New Roman;\"><span data-syno-text=\"true\">при котором чистая приведенная стоимость проекта обращается в ноль. Соответствующая ставка определяется итерационным подбором при расчетах чистой приведенной стоимости, либо с использованием финансового калькулятора или табличного процессора Excel, содержащих встроенную функцию для расчета IRR.</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Для оценки эффективности проекта значение внутренней нормы доходности необходимо сопоставлять с годовой ставкой процента </span></span><span data-syno-inline=\"true\"><span linebreak=\"true\" synobr=\"true\"><br></span></span><span style=\"font-family: Times New Roman;\"><span data-syno-text=\"true\">по инвестиционным кредитам.</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Обоснование ставки дисконтирования (D)</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соответствии с распространенным положением теории инвестиционного анализа предполагается, что ставка дисконтирования должна содержать темп инфляции, минимальную норму прибыли кредитора </span></span><span data-syno-inline=\"true\"><span linebreak=\"true\" synobr=\"true\"><br></span></span><span style=\"font-family: Times New Roman;\"><span data-syno-text=\"true\">и поправку, учитывающую степень риска конкретного проекта.</span></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План финансирования</span></strong></span></span></p></li></o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Раздел должен содержать следующую информацию: </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общая потребность в финансировании (в разбивке по основным категориям инвестиционных затрат);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предполагаемая структура источников финансирования;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размер собственных средств (которые будут вложены в проект Получателем средств и его акционерами/участниками);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возможность внесения дополнительного (резервного) финансирования Получателем средств или иными Участниками проекта;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предполагаемый размер и форма участия Кредитора;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предполагаемый график предоставления, обслуживания и возврата долга Кредитору/рам и возможные варианты выхода Кредитора/ров </span></span><span data-syno-inline=\"true\"><span linebreak=\"true\" synobr=\"true\"><br></span></span><span style=\"font-family: Times New Roman;\"><span data-syno-text=\"true\">из уставного капитала (если предполагается соответствующее финансирование);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предложения по контролю Кредитора/ров за ходом реализации проекта и целевым использованием средств (например, возможность передачи в залог акций Получателя средств или основных акционеров Получателя средств; выделение финансирования в виде траншей; представительство Кредитора/ров в Совете директоров; раздельный учет операций по проекту от текущей деятельности; использование резервных счетов расходов и авторизация платежей; мониторингом выполнения графика реализации проекта и т.д.);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размер, форма и условия (в том числе, предварительные) предоставления финансирования иными Участниками проекта (если рассматривается такая возможность).</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Ставка дисконтирования без учета риска проекта (d) </span></strong><span data-syno-text=\"true\">определяется </span></span><span data-syno-inline=\"true\"><span linebreak=\"true\" synobr=\"true\"><br></span></span><span style=\"font-family: Times New Roman;\"><span data-syno-text=\"true\">в долях единицы как отношение ставки рефинансирования (r), установленной Центральным банком Российской Федерации, и объявленного Правительством Российской Федерации на текущий год темпа инфляции (i):</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1 + d  = (1 + r/100) / (1 + i/100)</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Поправка на риск определяется, исходя из типовых и специфических рисков проекта, следующим образом:</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Интервал значений типовых рисков проекта определяется по данным следующей таблицы:</span></span></span></p><div class=\"syno-o-doc-pm-block\" style=\"margin-right: -17.379999999999995px;\"><table synotable=\"C3sZWcLImM\" style=\"border-collapse: collapse; table-layout: fixed; width: 641px;\" class=\"syno-o-doc-pm-table\"><colgroup><col style=\"width: 140px;\"><col style=\"width: 398px;\"><col style=\"width: 103px;\"></colgroup><tbody><tr style=\"height: 23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center; font-family: Arial;\" data-syno-style=\"{&quot;lineHeight&quot;:&quot;1.15&quot;,&quot;paddingBottom&quot;:&quot;&quot;,&quot;paddingTop&quot;:&quot;&quot;,&quot;paddingLeft&quot;:&quot;3.45pt&quot;,&quot;textAlign&quot;:&quot;center&quot;}\" data-syno-marks=\"[{&quot;_&quot;:&quot;font_size&quot;,&quot;value&quot;:&quot;12pt&quot;}]\" class=\"syno-o-doc-pm-paragraph\"><span style=\"font-size: 12pt;\"><span style=\"font-family: Times New Roman;\"><span data-syno-text=\"true\">Величина </span></span><span data-syno-inline=\"true\"><span linebreak=\"true\" synobr=\"true\"><br></span></span><span style=\"font-family: Times New Roman;\"><span data-syno-text=\"true\">типового риска</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center; font-family: Arial;\" data-syno-style=\"{&quot;lineHeight&quot;:&quot;1.15&quot;,&quot;paddingBottom&quot;:&quot;&quot;,&quot;paddingTop&quot;:&quot;&quot;,&quot;paddingLeft&quot;:&quot;3.45pt&quot;,&quot;textAlign&quot;:&quot;center&quot;}\" data-syno-marks=\"[{&quot;_&quot;:&quot;font_size&quot;,&quot;value&quot;:&quot;12pt&quot;}]\" class=\"syno-o-doc-pm-paragraph\"><span style=\"font-size: 12pt;\"><span style=\"font-family: Times New Roman;\"><span data-syno-text=\"true\">Суть проекта</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center; font-family: Arial;\" data-syno-style=\"{&quot;lineHeight&quot;:&quot;1.15&quot;,&quot;paddingBottom&quot;:&quot;&quot;,&quot;paddingTop&quot;:&quot;&quot;,&quot;paddingLeft&quot;:&quot;3.45pt&quot;,&quot;textAlign&quot;:&quot;center&quot;}\" data-syno-marks=\"[{&quot;_&quot;:&quot;font_size&quot;,&quot;value&quot;:&quot;12pt&quot;}]\" class=\"syno-o-doc-pm-paragraph\"><span style=\"font-size: 12pt;\"><span style=\"font-family: Times New Roman;\"><span data-syno-text=\"true\">P, процент</span></span></span></p></div></div></td></tr><tr style=\"height: 17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left; font-family: Arial;\" data-syno-style=\"{&quot;lineHeight&quot;:&quot;1.15&quot;,&quot;paddingBottom&quot;:&quot;&quot;,&quot;paddingTop&quot;:&quot;&quot;,&quot;paddingLeft&quot;:&quot;3.45pt&quot;,&quot;textAlign&quot;:&quot;&quot;}\" data-syno-marks=\"[{&quot;_&quot;:&quot;font_size&quot;,&quot;value&quot;:&quot;12pt&quot;}]\" class=\"syno-o-doc-pm-paragraph\"><span style=\"font-size: 12pt;\"><span style=\"font-family: Times New Roman;\"><span data-syno-text=\"true\">Низкий</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left; font-family: Arial;\" data-syno-style=\"{&quot;lineHeight&quot;:&quot;1.15&quot;,&quot;paddingBottom&quot;:&quot;&quot;,&quot;paddingTop&quot;:&quot;&quot;,&quot;paddingLeft&quot;:&quot;3.45pt&quot;,&quot;textAlign&quot;:&quot;&quot;}\" data-syno-marks=\"[{&quot;_&quot;:&quot;font_size&quot;,&quot;value&quot;:&quot;12pt&quot;}]\" class=\"syno-o-doc-pm-paragraph\"><span style=\"font-size: 12pt;\"><span style=\"font-family: Times New Roman;\"><span data-syno-text=\"true\">Снижение себестоимости продукции</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center; font-family: Arial;\" data-syno-style=\"{&quot;lineHeight&quot;:&quot;1.15&quot;,&quot;paddingBottom&quot;:&quot;&quot;,&quot;paddingTop&quot;:&quot;&quot;,&quot;paddingLeft&quot;:&quot;3.45pt&quot;,&quot;textAlign&quot;:&quot;center&quot;}\" data-syno-marks=\"[{&quot;_&quot;:&quot;font_size&quot;,&quot;value&quot;:&quot;12pt&quot;}]\" class=\"syno-o-doc-pm-paragraph\"><span style=\"font-size: 12pt;\"><span style=\"font-family: Times New Roman;\"><span data-syno-text=\"true\">6 – 10</span></span></span></p></div></div></td></tr><tr style=\"height: 17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left; font-family: Arial;\" data-syno-style=\"{&quot;lineHeight&quot;:&quot;1.15&quot;,&quot;paddingBottom&quot;:&quot;&quot;,&quot;paddingTop&quot;:&quot;&quot;,&quot;paddingLeft&quot;:&quot;3.45pt&quot;,&quot;textAlign&quot;:&quot;&quot;}\" data-syno-marks=\"[{&quot;_&quot;:&quot;font_size&quot;,&quot;value&quot;:&quot;12pt&quot;}]\" class=\"syno-o-doc-pm-paragraph\"><span style=\"font-size: 12pt;\"><span style=\"font-family: Times New Roman;\"><span data-syno-text=\"true\">Средний</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left; font-family: Arial;\" data-syno-style=\"{&quot;lineHeight&quot;:&quot;1.15&quot;,&quot;paddingBottom&quot;:&quot;&quot;,&quot;paddingTop&quot;:&quot;&quot;,&quot;paddingLeft&quot;:&quot;3.45pt&quot;,&quot;textAlign&quot;:&quot;&quot;}\" data-syno-marks=\"[{&quot;_&quot;:&quot;font_size&quot;,&quot;value&quot;:&quot;12pt&quot;}]\" class=\"syno-o-doc-pm-paragraph\"><span style=\"font-size: 12pt;\"><span style=\"font-family: Times New Roman;\"><span data-syno-text=\"true\">Увеличение объема продаж существующей продукции</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center; font-family: Arial;\" data-syno-style=\"{&quot;lineHeight&quot;:&quot;1.15&quot;,&quot;paddingBottom&quot;:&quot;&quot;,&quot;paddingTop&quot;:&quot;&quot;,&quot;paddingLeft&quot;:&quot;3.45pt&quot;,&quot;textAlign&quot;:&quot;center&quot;}\" data-syno-marks=\"[{&quot;_&quot;:&quot;font_size&quot;,&quot;value&quot;:&quot;12pt&quot;}]\" class=\"syno-o-doc-pm-paragraph\"><span style=\"font-size: 12pt;\"><span style=\"font-family: Times New Roman;\"><span data-syno-text=\"true\">8 – 12</span></span></span></p></div></div></td></tr><tr style=\"height: 17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left; font-family: Arial;\" data-syno-style=\"{&quot;lineHeight&quot;:&quot;1.15&quot;,&quot;paddingBottom&quot;:&quot;&quot;,&quot;paddingTop&quot;:&quot;&quot;,&quot;paddingLeft&quot;:&quot;3.45pt&quot;,&quot;textAlign&quot;:&quot;&quot;}\" data-syno-marks=\"[{&quot;_&quot;:&quot;font_size&quot;,&quot;value&quot;:&quot;12pt&quot;}]\" class=\"syno-o-doc-pm-paragraph\"><span style=\"font-size: 12pt;\"><span style=\"font-family: Times New Roman;\"><span data-syno-text=\"true\">Высокий</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left; font-family: Arial;\" data-syno-style=\"{&quot;lineHeight&quot;:&quot;1.15&quot;,&quot;paddingBottom&quot;:&quot;&quot;,&quot;paddingTop&quot;:&quot;&quot;,&quot;paddingLeft&quot;:&quot;3.45pt&quot;,&quot;textAlign&quot;:&quot;&quot;}\" data-syno-marks=\"[{&quot;_&quot;:&quot;font_size&quot;,&quot;value&quot;:&quot;12pt&quot;}]\" class=\"syno-o-doc-pm-paragraph\"><span style=\"font-size: 12pt;\"><span style=\"font-family: Times New Roman;\"><span data-syno-text=\"true\">Производство и продвижение на рынок нового продукта</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center; font-family: Arial;\" data-syno-style=\"{&quot;lineHeight&quot;:&quot;1.15&quot;,&quot;paddingBottom&quot;:&quot;&quot;,&quot;paddingTop&quot;:&quot;&quot;,&quot;paddingLeft&quot;:&quot;3.45pt&quot;,&quot;textAlign&quot;:&quot;center&quot;}\" data-syno-marks=\"[{&quot;_&quot;:&quot;font_size&quot;,&quot;value&quot;:&quot;12pt&quot;}]\" class=\"syno-o-doc-pm-paragraph\"><span style=\"font-size: 12pt;\"><span style=\"font-family: Times New Roman;\"><span data-syno-text=\"true\">11 – 15</span></span></span></p></div></div></td></tr><tr style=\"height: 17px;\" class=\"syno-o-doc-pm-table-row\"><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left; font-family: Arial;\" data-syno-style=\"{&quot;lineHeight&quot;:&quot;1.15&quot;,&quot;paddingBottom&quot;:&quot;&quot;,&quot;paddingTop&quot;:&quot;&quot;,&quot;paddingLeft&quot;:&quot;3.45pt&quot;,&quot;textAlign&quot;:&quot;&quot;}\" data-syno-marks=\"[{&quot;_&quot;:&quot;font_size&quot;,&quot;value&quot;:&quot;12pt&quot;}]\" class=\"syno-o-doc-pm-paragraph\"><span style=\"font-size: 12pt;\"><span style=\"font-family: Times New Roman;\"><span data-syno-text=\"true\">Очень высокий</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left; font-family: Arial;\" data-syno-style=\"{&quot;lineHeight&quot;:&quot;1.15&quot;,&quot;paddingBottom&quot;:&quot;&quot;,&quot;paddingTop&quot;:&quot;&quot;,&quot;paddingLeft&quot;:&quot;3.45pt&quot;,&quot;textAlign&quot;:&quot;&quot;}\" data-syno-marks=\"[{&quot;_&quot;:&quot;font_size&quot;,&quot;value&quot;:&quot;12pt&quot;}]\" class=\"syno-o-doc-pm-paragraph\"><span style=\"font-size: 12pt;\"><span style=\"font-family: Times New Roman;\"><span data-syno-text=\"true\">Вложения в исследования и инновации</span></span></span></p></div></div></td><td rowspan=\"1\" colspan=\"1\" style=\"display: table-cell; position: relative; border-left-color: #000000; border-left-style: solid; border-left-width: 1px; border-top-color: #000000; border-top-style: solid; border-top-width: 1px; border-right-color: #000000; border-right-style: solid; border-right-width: 1px; border-bottom-color: #000000; border-bottom-style: solid; border-bottom-width: 1px; vertical-align: middle; background-color: transparent;\" class=\"syno-o-doc-pm-table-cell\"><div class=\"syno-o-doc-pm-table-cell-content\"><div class=\"syno-o-doc-pm-table-cell-content-container\"><p textblock=\"true\" style=\"font-weight: 400; margin-top: 0px; margin-bottom: 0px; font-size: 12pt; line-height: 1.38; padding-bottom: 0px; padding-top: 0px; padding-left: 4.6px; text-align: center; font-family: Arial;\" data-syno-style=\"{&quot;lineHeight&quot;:&quot;1.15&quot;,&quot;paddingBottom&quot;:&quot;&quot;,&quot;paddingTop&quot;:&quot;&quot;,&quot;paddingLeft&quot;:&quot;3.45pt&quot;,&quot;textAlign&quot;:&quot;center&quot;}\" data-syno-marks=\"[{&quot;_&quot;:&quot;font_size&quot;,&quot;value&quot;:&quot;12pt&quot;}]\" class=\"syno-o-doc-pm-paragraph\"><span style=\"font-size: 12pt;\"><span style=\"font-family: Times New Roman;\"><span data-syno-text=\"true\">16 – 20</span></span></span></p></div></div></td></tr></tbody><div><div class=\"syno-o-doc-table-resize-bar syno-o-doc-table-resize-hbar\"></div><div class=\"syno-o-doc-table-resize-bar syno-o-doc-table-resize-vbar\"></div></div></table></div><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Конкретное значение поправки принимается по нижней, средней </span></span><span data-syno-inline=\"true\"><span linebreak=\"true\" synobr=\"true\"><br></span></span><span style=\"font-family: Times New Roman;\"><span data-syno-text=\"true\">или верхней границе интервала типового риска в зависимости от приведенной </span></span><span data-syno-inline=\"true\"><span linebreak=\"true\" synobr=\"true\"><br></span></span><span style=\"font-family: Times New Roman;\"><span data-syno-text=\"true\">в бизнес-плане соответствующей оценки величины специфических рисков </span></span><span data-syno-inline=\"true\"><span linebreak=\"true\" synobr=\"true\"><br></span></span><span style=\"font-family: Times New Roman;\"><span data-syno-text=\"true\">и чувствительности к ним проекта.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Ставка дисконтирования, учитывающая риски проекта, (D) </span></strong><span data-syno-text=\"true\">определяется в процентах по формуле:</span></span></span></p><p data-syno-indent=\"true\" textblock=\"true\" style=\"font-weight: 400; margin-top: 0px; margin-bottom: 0px; font-size: 14pt; line-height: 1.2; padding-bottom: 0px; padding-top: 0px; padding-left: 0px; text-align: left; font-family: Arial;\" data-syno-style=\"{&quot;lineHeight&quot;:&quot;1&quot;,&quot;paddingBottom&quot;:&quot;&quot;,&quot;paddingTop&quot;:&quot;&quot;,&quot;paddingLeft&quot;:&quot;0pt&quot;,&quot;textAlign&quot;:&quot;&quot;}\" data-syno-marks=\"[{&quot;_&quot;:&quot;font_size&quot;,&quot;value&quot;:&quot;14pt&quot;}]\" class=\"syno-o-doc-pm-paragraph\"><span pm-ignore=\"keep\" style=\"margin-left: 30px;\"></span><span style=\"font-size: 14pt;\"><span style=\"font-family: Times New Roman;\"><span data-syno-text=\"true\">D = d х 100 + P,</span></span></span></p><p data-syno-indent=\"true\" textblock=\"true\" style=\"font-weight: 400; margin-top: 0px; margin-bottom: 0px; font-size: 14pt; line-height: 1.2; padding-bottom: 0px; padding-top: 0px; padding-left: 0px; text-align: left; font-family: Arial;\" data-syno-style=\"{&quot;lineHeight&quot;:&quot;1&quot;,&quot;paddingBottom&quot;:&quot;&quot;,&quot;paddingTop&quot;:&quot;&quot;,&quot;paddingLeft&quot;:&quot;0pt&quot;,&quot;textAlign&quot;:&quot;&quot;}\" data-syno-marks=\"[{&quot;_&quot;:&quot;font_size&quot;,&quot;value&quot;:&quot;14pt&quot;}]\" class=\"syno-o-doc-pm-paragraph\"><span pm-ignore=\"keep\" style=\"margin-left: 30px;\"></span><span style=\"font-size: 14pt;\"><span style=\"font-family: Times New Roman;\"><span data-syno-text=\"true\">где:    P - поправка на риск.</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АО «КАВКАЗ.РФ» оставляет за собой право корректировать ставку дисконтирования по результатам экспертизы бизнес-плана и других материалов по проекту</span></strong></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Оценка и анализ проектных рисков</span></strong></span></span></p></li></o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Анализ проектных рисков раздел должен содержать типы и описание основных рисков по проекту, их оценку (качественную оценку величины риска и/или количественную оценку вероятности реализации риска и степени потенциального ущерба), способы управления рисками (их снижения, распределения между Участниками) и предлагаемые гарантии инвесторам.</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Для проектов, реализуемых на принципах государственно-частного партнерства, необходимо привести матрицу рисков и предложения </span></span><span data-syno-inline=\"true\"><span linebreak=\"true\" synobr=\"true\"><br></span></span><span style=\"font-family: Times New Roman;\"><span data-syno-text=\"true\">по распределению рисков между частным и государственным сектором с целью их минимизации.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данном разделе бизнес-плана, проводится качественный анализ рисков проекта, не поддающихся формализованному анализу.</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 основе приведенного ниже примерного перечня возможных рисков необходимо оценить вероятность их возникновения при реализации проекта </span></span><span data-syno-inline=\"true\"><span linebreak=\"true\" synobr=\"true\"><br></span></span><span style=\"font-family: Times New Roman;\"><span data-syno-text=\"true\">в терминах: «высокая», «средняя», «низкая»; а также устойчивость проекта по отношению к рискам, отнесенным к категории вероятных. При этом необходимо использовать приведенный ниже перечень методов снижения рисков.</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Риски, возникающие на этапе осуществления капитальных вложений:</span></strong></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невыполнение обязательств поставщиком (низкое качество, дефекты </span></span><span data-syno-inline=\"true\"><span linebreak=\"true\" synobr=\"true\"><br></span></span><span style=\"font-family: Times New Roman;\"><span data-syno-text=\"true\">в оборудовании, технологии);</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несвоевременная поставка и монтаж оборудования;</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несовместимость отечественного оборудования с импортным;</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срыв сроков строительства;</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превышение расчетной стоимости проекта;</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форс-мажор, материальный ущерб.</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Риски, связанные с эксплуатацией предприятия:</span></strong></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 невыход    на проектную мощность (возникновение     технологических или сырьевых ограничений);</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выпуск продукции несоответствующего качества (возникновение технологических или сырьевых ограничений);</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неудовлетворительный менеджмент;</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продукция не находит сбыта в нужном стоимостном выражении </span></span><span data-syno-inline=\"true\"><span linebreak=\"true\" synobr=\"true\"><br></span></span><span style=\"font-family: Times New Roman;\"><span data-syno-text=\"true\">и в расчетные сроки (возникновение ценовых ограничений, переоценка емкости рынка или недооценка конкуренции при маркетинге);</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несвоевременность поставок сырья;</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возникновение необходимости в дополнительных (сверх бизнес-плана) закупках сырья;</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инфляция затрат (опережающий рост цен на сырье, энергоносители </span></span><span data-syno-inline=\"true\"><span linebreak=\"true\" synobr=\"true\"><br></span></span><span style=\"font-family: Times New Roman;\"><span data-syno-text=\"true\">и др. статьи затрат);</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удорожание финансирования (негативные изменения валютного курса);</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транспортные риски;</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экологические риски (возникновение непредвиденных затрат </span></span><span data-syno-inline=\"true\"><span linebreak=\"true\" synobr=\"true\"><br></span></span><span style=\"font-family: Times New Roman;\"><span data-syno-text=\"true\">на возмещение ущерба);</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форс-мажор, материальный ущерб.</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Методы снижения рисков</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Наличие гарантий (в том числе банковских) от поставщиков технологии </span></span><span data-syno-inline=\"true\"><span linebreak=\"true\" synobr=\"true\"><br></span></span><span style=\"font-family: Times New Roman;\"><span data-syno-text=\"true\">и оборудования, а также от подрядчиков:</span></span></span></p><ul><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возврата аванса;</span></span></span></p></li><li><p textblock=\"true\" style=\"font-weight: 400; margin-top: 0px; margin-bottom: 0px; font-size: 14pt; line-height: 1.2; padding-bottom: 0px; padding-top: 0px; padding-left: 62.47px; text-align: justify; font-family: Arial;\" data-syno-style=\"{&quot;lineHeight&quot;:&quot;1&quot;,&quot;paddingBottom&quot;:&quot;&quot;,&quot;paddingTop&quot;:&quot;&quot;,&quot;paddingLeft&quot;:&quot;46.8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надлежащего исполнения контрактов; своевременного завершения строительства.</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Контракты на базе твердых цен, «под ключ», наличие валютных оговорок, штрафных санкций, применение национального законодательства при разрешении споров и т.п.</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Наличие долгосрочных контрактов с поставщиками сырья, материалов, комплектующих. Наличие долгосрочных договоров на сбыт готовой продукции.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Наличие альтернативных поставщиков сырья и покупателей готовой продукции. Создание запасов сырья, материалов, комплектующих и готовой продукции.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Приемлемое соотношение собственных и заемных средств в составе источников финансирования проекта.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Единообразие валют источников финансирования и контрактов </span></span><span data-syno-inline=\"true\"><span linebreak=\"true\" synobr=\"true\"><br></span></span><span style=\"font-family: Times New Roman;\"><span data-syno-text=\"true\">на поставку оборудования, закупку сырья и сбыт готовой продукции.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Наличие источников финансирования для формирования (пополнения) оборотного капитала с учетом запасов и платежного цикла проекта.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Приемлемый коэффициент покрытия ссудной задолженности.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Ограничения выплат дивидендов на период погашения инвестиционного кредита. Страхование имущества, валютных рисков и т.п.</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Открытие депонированных (накопительных) счетов в банке-кредиторе. Наличие достаточного обеспечения.</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Наличие экологической экспертизы.</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Формирование благоприятного отношения к проекту в СМИ. Поддержка проекта со стороны местных органов власти.</span></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Обеспечение</span></strong></span></span></p></li></o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Приводится расчет необходимого объема обеспечения, а также данные о предлагаемом обеспечении.</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Расчет требуемого объема обеспечения производится в соответствии </span></span><span data-syno-inline=\"true\"><span linebreak=\"true\" synobr=\"true\"><br></span></span><span style=\"font-family: Times New Roman;\"><span data-syno-text=\"true\">с требованиями АО «КАВКАЗ.РФ».</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В качестве способов обеспечения исполнения обязательств заемщиков в рамках инвестиционных проектов АО «КАВКАЗ.РФ» принимаются:</span></strong></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залог товаров в обороте (товарно-материальных ценностей, в том числе готовой продукции, сырья);</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залог оборудования (станков, установок, технологических линий </span></span><span data-syno-inline=\"true\"><span linebreak=\"true\" synobr=\"true\"><br></span></span><span style=\"font-family: Times New Roman;\"><span data-syno-text=\"true\">и т.д.); залог транспортных средств;</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залог объектов недвижимости (жилых (в исключительных случаях) </span></span><span data-syno-inline=\"true\"><span linebreak=\"true\" synobr=\"true\"><br></span></span><span style=\"font-family: Times New Roman;\"><span data-syno-text=\"true\">и нежилых помещений (складов, производственных помещений, офисов и т.д.); земельных участков; объектов незавершенного строительства; морских судов, судов внутреннего плавания, судов смешанного («река-море») плавания и т.д.);</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залог сельскохозяйственных животных;</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залог доли/акций в уставном капитале;</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отдельных случаях в качестве способов обеспечения в совокупности </span></span><span data-syno-inline=\"true\"><span linebreak=\"true\" synobr=\"true\"><br></span></span><span style=\"font-family: Times New Roman;\"><span data-syno-text=\"true\">с другими способами обеспечения исполнения обязательств могут быть рассмотрены:</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залог имущества, приобретаемого в будущем;</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залог имущественных прав (в том числе, удостоверенных ценной бумагой); банковская гарантия;</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государственная гарантия субъекта Российской Федерации / муниципальная гарантия муниципального образования;</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поручительство.</span></span></span></p></li></u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trong><span data-syno-text=\"true\">Требования по подготовке финансовой модели инвестиционного проекта, предоставляемой в Акционерное общество «Курорты Северного Кавказа»</span></strong></span></span></p></li></ul><p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style=\"font-size: 14pt;\"><span style=\"font-family: Times New Roman;\"><span data-syno-text=\"true\"> </span></span></span></p><p textblock=\"true\" style=\"font-weight: 400; margin-top: 0px; margin-bottom: 0px; font-size: 14pt; line-height: 1.2; padding-bottom: 0px; padding-top: 0px; padding-left: 0px; text-align: center; font-family: Arial;\" data-syno-style=\"{&quot;lineHeight&quot;:&quot;1&quot;,&quot;paddingBottom&quot;:&quot;&quot;,&quot;paddingTop&quot;:&quot;&quot;,&quot;paddingLeft&quot;:&quot;0pt&quot;,&quot;textAlign&quot;:&quot;center&quot;}\" data-syno-marks=\"[{&quot;_&quot;:&quot;font_size&quot;,&quot;value&quot;:&quot;14pt&quot;}]\" class=\"syno-o-doc-pm-paragraph\"><span style=\"font-size: 14pt;\"><span style=\"font-family: Times New Roman;\"><strong><span data-syno-text=\"true\">1. Требования к функциональным возможностям финансовой модели</span></strong></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Финансовая модель должна быть создана в формате Microsoft Excel (версия 97 или более поздняя), кроме случаев, когда иное согласовано с Банком. Имя файла финансовой модели должно ясно указывать на версию финансовой модели и дату подготовки.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Никакая часть финансовой модели не должна быть скрыта, защищена, заблокирована или иным образом недоступна для просмотра и внесения изменений.</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Финансовая модель должна обладать понятной и логичной структурой. Последовательно должны быть представлены исходные данные (допущения), финансовые прогнозы и промежуточные расчеты, результаты финансовых прогнозов; указанные элементы должны быть визуально отделены друг </span></span><span data-syno-inline=\"true\"><span linebreak=\"true\" synobr=\"true\"><br></span></span><span style=\"font-family: Times New Roman;\"><span data-syno-text=\"true\">от друга, но связаны между собой расчетными формулами.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(не предоставленные в составе Проектного предложения) </span></span><span data-syno-inline=\"true\"><span linebreak=\"true\" synobr=\"true\"><br></span></span><span style=\"font-family: Times New Roman;\"><span data-syno-text=\"true\">и циклические ссылки. В исключительных случаях, факт и причина отступления от данных правил должны быть изложены в описании </span></span><span data-syno-inline=\"true\"><span linebreak=\"true\" synobr=\"true\"><br></span></span><span style=\"font-family: Times New Roman;\"><span data-syno-text=\"true\">к финансовой модели.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Финансовая модель должна допускать внесение изменений </span></span><span data-syno-inline=\"true\"><span linebreak=\"true\" synobr=\"true\"><br></span></span><span style=\"font-family: Times New Roman;\"><span data-syno-text=\"true\">в первоначально заложенные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допущений (исходных данных) модели.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Если финансовые показатели, полученные в финансовой модели, основаны на одной или более базовых моделях, необходимо обеспечить динамические связи между этими базовыми моделями и финансовой моделью так, чтобы при внесении изменений в любую базовую модель происходило обновление финансовой модели.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ее составе должны присутствовать взаимосвязанные друг с другом прогнозный отчет о прибылях </span></span><span data-syno-inline=\"true\"><span linebreak=\"true\" synobr=\"true\"><br></span></span><span style=\"font-family: Times New Roman;\"><span data-syno-text=\"true\">и убытках, прогнозный баланс, прогнозный отчет о движении денежных средств.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Формы прогнозной финансовой отчетности и промежуточные отчеты </span></span><span data-syno-inline=\"true\"><span linebreak=\"true\" synobr=\"true\"><br></span></span><span style=\"font-family: Times New Roman;\"><span data-syno-text=\"true\">не должны противоречить друг другу.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Финансовая модель должна отвечать принципу единообразия </span></span><span data-syno-inline=\"true\"><span linebreak=\"true\" synobr=\"true\"><br></span></span><span style=\"font-family: Times New Roman;\"><span data-syno-text=\"true\">и последовательности в расчетах и форматировании. Формулы расчета финансовых показателей (коэффициентов), которые присутствуют </span></span><span data-syno-inline=\"true\"><span linebreak=\"true\" synobr=\"true\"><br></span></span><span style=\"font-family: Times New Roman;\"><span data-syno-text=\"true\">в финансовой модели, должны быть неизменными для всех частей и периодов финансовой модели.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Не допускается наличие внешних файлов. </span></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textblock=\"true\" style=\"font-weight: 400; margin-top: 0px; margin-bottom: 0px; font-size: 14pt; line-height: 1.2; padding-bottom: 0px; padding-top: 0px; padding-left: 0px; text-align: center; font-family: Arial;\" data-syno-style=\"{&quot;lineHeight&quot;:&quot;1&quot;,&quot;paddingBottom&quot;:&quot;&quot;,&quot;paddingTop&quot;:&quot;&quot;,&quot;paddingLeft&quot;:&quot;0pt&quot;,&quot;textAlign&quot;:&quot;center&quot;}\" data-syno-marks=\"[{&quot;_&quot;:&quot;font_size&quot;,&quot;value&quot;:&quot;14pt&quot;}]\" class=\"syno-o-doc-pm-paragraph\"><span style=\"font-size: 14pt;\"><span style=\"font-family: Times New Roman;\"><strong><span data-syno-text=\"true\">2. Требования к составу исходных данных (допущений) финансовой модели</span></strong></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Исходные данные (допущения), на которых построены финансовые прогнозы, должны быть представлены в описании к финансовой модели </span></span><span data-syno-inline=\"true\"><span linebreak=\"true\" synobr=\"true\"><br></span></span><span style=\"font-family: Times New Roman;\"><span data-syno-text=\"true\">или в бизнес-плане.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Список источников для исходных данных (допущений) указан в разделе </span></span><span data-syno-inline=\"true\"><span linebreak=\"true\" synobr=\"true\"><br></span></span><span style=\"font-family: Times New Roman;\"><span data-syno-text=\"true\">4 данного Перечня.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числе исходных данных (допущений) финансовой модели должны быть указаны следующие (в случае их применимости к проекту):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em><u><span data-syno-text=\"true\">Основные методические предположения, использованные при построении финансовых прогнозов, в том числе: </span></u></em></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срок жизни проекта;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длительность прогнозного периода (не должен быть менее дисконтированного периода окупаемости проекта и срока возврата кредита);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длительность постпрогнозного периода (если применимо)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начальный момент прогнозного периода (должен быть не ранее трех календарных месяцев до дня представления Проектного предложения);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шаг прогноза (минимально: для инвестиционной стадии – один квартал, в случае наличия месячной сезонности – один месяц; </span></span><span data-syno-inline=\"true\"><span linebreak=\"true\" synobr=\"true\"><br></span></span><span style=\"font-family: Times New Roman;\"><span data-syno-text=\"true\">для операционной стадии – один год);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тип денежных потоков (номинальные, реальные) и итоговая валюта денежных потоков;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вид ставки дисконтирования и метод ее расчета;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методика расчета заключительной стоимости (с указанием ожидаемого темпа роста в постпрогнозный период);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иные ключевые методические предположения. </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em><u><span data-syno-text=\"true\">Основные предположения, связанные с рассматриваемым проектом, использованные при построении финансовых прогнозов, в том числе:</span></u></em></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макроэкономические данные (прогнозы инфляции, обменных курсов, роста реальной заработной платы и т.п.);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прогноз капитальных вложений;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прогноз объема продаж и объема производства (иных количественных факторов, определяющих выручку);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прогноз цен/тарифов на готовую продукцию/услуги;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нормы расхода ресурсов на единицу выпуска;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прогноз цен на основное сырье и материалы и других затрат, составляющих значительную долю в себестоимости, прогноз иных переменных затрат;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прогноз затрат на персонал (штатное расписание или бюджет затрат </span></span><span data-syno-inline=\"true\"><span linebreak=\"true\" synobr=\"true\"><br></span></span><span style=\"font-family: Times New Roman;\"><span data-syno-text=\"true\">на персонал с учетом планируемых индексаций оплаты труда и увеличения штата);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прогноз условно постоянных затрат;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условия расчетов с контрагентами (отсрочки и предоплаты по расчетам с поставщиками и подрядчиками, покупателями, бюджетом, персоналом) </span></span><span data-syno-inline=\"true\"><span linebreak=\"true\" synobr=\"true\"><br></span></span><span style=\"font-family: Times New Roman;\"><span data-syno-text=\"true\">и / или нормативы оборачиваемости;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налоговые предпосылки: информация о налогах и иных обязательных платежах (пошлинах, взносах по обязательному страхованию и т.п.), которые подлежат уплате в соответствии с действующим законодательством страны, </span></span><span data-syno-inline=\"true\"><span linebreak=\"true\" synobr=\"true\"><br></span></span><span style=\"font-family: Times New Roman;\"><span data-syno-text=\"true\">на территории которой будет реализован проект (налог, база, ставка, порядок уплаты), с учетом ожидаемых изменений в налоговом законодательстве;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предпосылки по учетной политике (политика по амортизации, капитализации затрат, созданию резервов, признанию выручки);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прогнозная структура финансирования, условия по заемному финансированию (процентные ставки, график получения и обслуживания долга);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данные фондового рынка для расчета ставки дисконтирования;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иные исходные данные и предпосылки, важные для данной отрасли </span></span><span data-syno-inline=\"true\"><span linebreak=\"true\" synobr=\"true\"><br></span></span><span style=\"font-family: Times New Roman;\"><span data-syno-text=\"true\">и типа проекта. </span></span></span></p></li></u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ol><li><p textblock=\"true\" style=\"font-weight: 400; margin-top: 0px; margin-bottom: 0px; font-size: 14pt; line-height: 1.2; padding-bottom: 0px; padding-top: 0px; padding-left: 24px; text-align: center; font-family: Arial;\" data-syno-style=\"{&quot;lineHeight&quot;:&quot;1&quot;,&quot;paddingBottom&quot;:&quot;&quot;,&quot;paddingTop&quot;:&quot;&quot;,&quot;paddingLeft&quot;:&quot;18pt&quot;,&quot;textAlign&quot;:&quot;center&quot;}\" data-syno-marks=\"[{&quot;_&quot;:&quot;font_size&quot;,&quot;value&quot;:&quot;14pt&quot;}]\" class=\"syno-o-doc-pm-paragraph\"><span syno-list-item=\"true\" pm-ignore=\"true\" class=\"syno-o-doc-list-item-marker syno-o-doc-order-list-marker\" style=\"font-size: 14pt;\"></span><span style=\"font-size: 14pt;\"><span style=\"font-family: Times New Roman;\"><strong><span data-syno-text=\"true\">Требования к составу результатов финансовых прогнозов, формы прогнозной финансовой отчетности</span></strong></span></span></p></li></o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Прогнозная финансовая отчетность составляется для Получателя средств и носит характер управленческой отчетности, в частности: </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некоторые статьи, величина которых является относительно незначительной в масштабах проекта, могут быть объединены;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амортизация должна быть выделена отдельной строкой и не должна вычитаться из выручки при расчете валовой прибыли. </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 необходимости должны быть представлены следующие формы прогнозной финансовой отчетности: прогнозный отчет о движении денежных средств, прогнозный отчет о прибылях и убытках, прогнозный баланс.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Прогнозный отчет о прибылях и убытках должен содержать, в том числе, следующие финансовые показатели: выручка, валовая прибыль, валовая рентабельность, EBITDA (операционная прибыль до вычета амортизации, процентов и налогов), EBIT (операционная прибыль до вычета процентов </span></span><span data-syno-inline=\"true\"><span linebreak=\"true\" synobr=\"true\"><br></span></span><span style=\"font-family: Times New Roman;\"><span data-syno-text=\"true\">и налогов), чистая прибыль, чистая рентабельность. Если в силу отраслевых или иных особенностей проекта данные показатели не представлены, следует указать факт и причины их отсутствия в описании к финансовой модели.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Прогнозный отчет о движении денежных средств должен включать денежные потоки от операционной, инвестиционной и финансовой деятельности. Денежные потоки, связанные с выплатой и получением процентов и дивидендов, должны быть раскрыты в отдельных строках;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случае предполагаемого долгового финансирования, справочно должны быть приведены свободные денежные потоки до обслуживания долга (CFADS).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Также могут быть предоставлены иные отчеты.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Финансовые показатели (коэффициенты) </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Формулы расчета всех финансовых показателей (коэффициентов), которые рассчитываются в финансовой модели, должны быть приведены </span></span><span data-syno-inline=\"true\"><span linebreak=\"true\" synobr=\"true\"><br></span></span><span style=\"font-family: Times New Roman;\"><span data-syno-text=\"true\">в описании к финансовой модели и / или в бизнес-плане. Факт и причина отступления от данного требования должны быть оговорены в описании </span></span><span data-syno-inline=\"true\"><span linebreak=\"true\" synobr=\"true\"><br></span></span><span style=\"font-family: Times New Roman;\"><span data-syno-text=\"true\">к финансовой модели.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А. Показатели инвестиционной привлекательности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Финансовые показатели (коэффициенты), указанные ниже, должны быть приведены в финансовой модели при необходимости:</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показатели инвестиционной привлекательности по проекту в целом –  чистая приведенная стоимость проекта (NPV), внутренняя норма доходности (IRR), период окупаемости проекта (PBP), дисконтированный период окупаемости проекта (DPBP);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показатели инвестиционной привлекательности для отдельных Участников проекта: для собственников (указывается в случае, если рассматривается возможность предоставления Банком долевого финансирования по проекту) – внутренняя норма доходности </span></span><span data-syno-inline=\"true\"><span linebreak=\"true\" synobr=\"true\"><br></span></span><span style=\"font-family: Times New Roman;\"><span data-syno-text=\"true\">ля собственников (IRR on equity); для иных Участников проекта (указывается по усмотрению Инициатора проекта).</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Б. Показатели финансовой устойчивости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Финансовые показатели (коэффициенты), указанные ниже, рассчитываются для Получателя средств (на основе прогнозной финансовой отчетности) и указываются в случае, если рассматривается возможность предоставления Банком долгового финансирования по проекту:</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показатели обслуживания (покрытия) долга: коэффициент покрытия процентных выплат (Interest coverage ratio, EBIT/проценты), коэффициент покрытия выплат по обслуживанию долга операционными денежными потоками (Debt Service Coverage Ratio, DSCR), коэффициент покрытия долга денежными потоками, доступными для обслуживания долга, в период </span></span><span data-syno-inline=\"true\"><span linebreak=\"true\" synobr=\"true\"><br></span></span><span style=\"font-family: Times New Roman;\"><span data-syno-text=\"true\">до погашения долга (Loan Life Coverage Ratio, LLCR);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показатели долговой нагрузки: Долг/Собственный капитал;</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долг/EBITDA, Долг/CFADS.</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 В частности, к показателям покрытия долга также могут быть отнесены: PLCR (Project Life Coverage Ratio), RLCR (Reserve Life Coverage Ratio).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В. Показатели ликвидности (платежеспособности)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Финансовый показатель (коэффициент), указанный ниже, должен быть приведен при необходимости (рассчитывается для получателя средств </span></span><span data-syno-inline=\"true\"><span linebreak=\"true\" synobr=\"true\"><br></span></span><span style=\"font-family: Times New Roman;\"><span data-syno-text=\"true\">на основе прогнозной финансовой отчетности): </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показатель текущей ликвидности (current ratio), быстрой ликвидности (quick ratio). </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Г. Иные финансовые показатели (коэффициенты).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Финансовые показатели (коэффициенты), указанные ниже, приводятся </span></span><span data-syno-inline=\"true\"><span linebreak=\"true\" synobr=\"true\"><br></span></span><span style=\"font-family: Times New Roman;\"><span data-syno-text=\"true\">по усмотрению составителей финансовой модели (рассчитываются </span></span><span data-syno-inline=\"true\"><span linebreak=\"true\" synobr=\"true\"><br></span></span><span style=\"font-family: Times New Roman;\"><span data-syno-text=\"true\">для Получателя средств на основе прогнозной финансовой отчетности): </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показатели рентабельности: рентабельность активов (ROA), рентабельность продаж (ROS), рентабельность собственного капитала (ROE), рентабельность инвестиций (капитала) (ROCE);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показатели оборачиваемости: оборачиваемость дебиторской задолженности, оборачиваемость кредиторской задолженности, оборачиваемость запасов. </span></span></span></p></li></ul><p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style=\"font-size: 14pt;\"><span style=\"font-family: Times New Roman;\"><span data-syno-text=\"true\">    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 </span></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textblock=\"true\" style=\"font-weight: 400; margin-top: 0px; margin-bottom: 0px; font-size: 14pt; line-height: 1.2; padding-bottom: 0px; padding-top: 0px; padding-left: 0px; text-align: center; font-family: Arial;\" data-syno-style=\"{&quot;lineHeight&quot;:&quot;1&quot;,&quot;paddingBottom&quot;:&quot;&quot;,&quot;paddingTop&quot;:&quot;&quot;,&quot;paddingLeft&quot;:&quot;0pt&quot;,&quot;textAlign&quot;:&quot;center&quot;}\" data-syno-marks=\"[{&quot;_&quot;:&quot;font_size&quot;,&quot;value&quot;:&quot;14pt&quot;}]\" class=\"syno-o-doc-pm-paragraph\"><span style=\"font-size: 14pt;\"><span style=\"font-family: Times New Roman;\"><strong><span data-syno-text=\"true\">4. Методические указания по составлению финансовых прогнозов</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Общие требования: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Прогнозируются только денежные потоки, которые будут поступать </span></span><span data-syno-inline=\"true\"><span linebreak=\"true\" synobr=\"true\"><br></span></span><span style=\"font-family: Times New Roman;\"><span data-syno-text=\"true\">в распоряжение (расходоваться) Получателя(ем) средств.</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Затраты, связанные с проектом, осуществленные до начального момента прогнозного периода, не должны учитываться в прогнозных финансовых потоках, но могут быть учтены в виде активов на балансе Получателя средств;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График привлечения финансирования должен быть привязан к графику инвестиций, денежные потоки по финансовой деятельности должны прогнозироваться на основе денежных потоков от операционной </span></span><span data-syno-inline=\"true\"><span linebreak=\"true\" synobr=\"true\"><br></span></span><span style=\"font-family: Times New Roman;\"><span data-syno-text=\"true\">и инвестиционной деятельности.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По окончании каждого прогнозного шага сумма остатка денежных средств на расчетных и резервных счетах не могут принимать отрицательные значения (при возникновении в каком-либо периоде недостатка денежных средств должно прогнозироваться привлечение дополнительных источников финансирования).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 привлечении заемного финансирования должны прогнозироваться платежи по обслуживанию долга (с учетом возможной отсрочки выплаты начисленных процентов).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Необходимо прогнозировать денежные потоки в тех валютах, </span></span><span data-syno-inline=\"true\"><span linebreak=\"true\" synobr=\"true\"><br></span></span><span style=\"font-family: Times New Roman;\"><span data-syno-text=\"true\">в которых они реализуются (производятся поступления и платежи), и вслед </span></span><span data-syno-inline=\"true\"><span linebreak=\"true\" synobr=\"true\"><br></span></span><span style=\"font-family: Times New Roman;\"><span data-syno-text=\"true\">за этим приводить их к единой, итоговой валюте. В качестве итоговой валюты следует выбирать валюту, в которой поступает большая часть денежных потоков.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Информацию о движении денежных средств, обусловленном получением и выплатой процентов и дивидендов, следует раскрывать отдельными строками.</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Если в конце срока жизни проекта предполагается ликвидация Получателя средств или объекта инвестирования, или передача прав на извлечение доходов </span></span><span data-syno-inline=\"true\"><span linebreak=\"true\" synobr=\"true\"><br></span></span><span style=\"font-family: Times New Roman;\"><span data-syno-text=\"true\">и несение затрат от эксплуатации объекта инвестирования иному лицу, </span></span><span data-syno-inline=\"true\"><span linebreak=\"true\" synobr=\"true\"><br></span></span><span style=\"font-family: Times New Roman;\"><span data-syno-text=\"true\">в денежных потоках Получателя средств должны быть учтены затраты и доходы, связанные с указанной ликвидацией или передачей прав (в том числе, </span></span><span data-syno-inline=\"true\"><span linebreak=\"true\" synobr=\"true\"><br></span></span><span style=\"font-family: Times New Roman;\"><span data-syno-text=\"true\">в соответствии с требованиями законодательства об экологии и недропользовании, а также трудового законодательства).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Срок жизни проекта устанавливается по усмотрению Инициатора проекта. Определять срок жизни проекта как экономически целесообразный (максимизирующий NPV), технически осуществимый и юридически допустимый период, в течение которого предполагается создание, последующая эксплуатация и (если требуется в соответствии с законодательством страны реализации проекта или заключенными договорами между Участниками проекта) ликвидация объекта инвестирования или передача прав на извлечение доходов и несение затрат от эксплуатации объекта инвестирования иному лицу. При определении срока жизни проекта следует принимать во внимание: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 предполагаемый срок прекращения возможности доступа получателя средств к ключевым ресурсам (например, исчерпание сырьевых запасов, окончание срока аренды земельного участка и т.п.);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 предполагаемый срок потери контроля Получателя средств </span></span><span data-syno-inline=\"true\"><span linebreak=\"true\" synobr=\"true\"><br></span></span><span style=\"font-family: Times New Roman;\"><span data-syno-text=\"true\">над объектом инвестирования (например, окончание срока лицензии или срока, закрепленного в договоре концессии и т.д.);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 предполагаемый срок прекращения возможности или целесообразности дальнейшей эксплуатации объекта инвестирования ввиду его физического </span></span><span data-syno-inline=\"true\"><span linebreak=\"true\" synobr=\"true\"><br></span></span><span style=\"font-family: Times New Roman;\"><span data-syno-text=\"true\">или морального износа (в том числе, ввиду изменения технических </span></span><span data-syno-inline=\"true\"><span linebreak=\"true\" synobr=\"true\"><br></span></span><span style=\"font-family: Times New Roman;\"><span data-syno-text=\"true\">и экологических стандартов и норм к производимому продукту, технологии производства или условиям труда, появления более эффективных средств производства);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 предполагаемый срок прекращения потребности рынка в продукте ввиду его морального устаревания или потери конкурентоспособности (продолжительность жизненного цикла продукта).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Продолжительность прогнозного периода устанавливается </span></span><span data-syno-inline=\"true\"><span linebreak=\"true\" synobr=\"true\"><br></span></span><span style=\"font-family: Times New Roman;\"><span data-syno-text=\"true\">по усмотрению Инициатора проекта, но не может быть менее дисконтированного срока окупаемости проекта и срока возврата финансирования (срока возврата кредита Банка или срока выхода Банка из проекта в случае долевого финансирования).</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Если по окончании прогнозного периода для Получателя средств экономически целесообразно, технически осуществимо и юридически допустимо продолжать извлекать доходы от эксплуатации инвестиционного объекта </span></span><span data-syno-inline=\"true\"><span linebreak=\"true\" synobr=\"true\"><br></span></span><span style=\"font-family: Times New Roman;\"><span data-syno-text=\"true\">в течение ограниченного или (в исключительных случаях) неограниченного периода времени (например, при эксплуатации возобновляемого ресурса), </span></span><span data-syno-inline=\"true\"><span linebreak=\"true\" synobr=\"true\"><br></span></span><span style=\"font-family: Times New Roman;\"><span data-syno-text=\"true\">при этом предполагается стабилизация денежных потоков, поступающих Получателю средств (прогнозируется изменение денежных потоков с постоянным или нулевым темпом роста), может быть рассмотрен постпрогнозный период </span></span><span data-syno-inline=\"true\"><span linebreak=\"true\" synobr=\"true\"><br></span></span><span style=\"font-family: Times New Roman;\"><span data-syno-text=\"true\">и рассчитана Заключительная стоимость (заключительный денежный поток). </span></span><span data-syno-inline=\"true\"><span linebreak=\"true\" synobr=\"true\"><br></span></span><span style=\"font-family: Times New Roman;\"><span data-syno-text=\"true\">При выделении постпрогнозного периода необходимо обосновать, что продолжение извлечения доходов от эксплуатации инвестиционного объекта для Получателя средств в течение постпрогнозного периода является экономически целесообразным, технически осуществимым и юридически допустимым.</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Ставка дисконтирования и дисконтируемые денежные потоки должны относиться к одному и тому же типу (рассчитаны для проекта целиком или только для собственников) и виду (с учетом инфляции или без учета). Ставка дисконтирования должна отражать требуемую доходность для инвестиций, выраженных в той же валюте, что и валюта денежных потоков.</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 расчете NPVproject все денежные потоки, включая заключительную стоимость (заключительный денежный поток) должны приводиться </span></span><span data-syno-inline=\"true\"><span linebreak=\"true\" synobr=\"true\"><br></span></span><span style=\"font-family: Times New Roman;\"><span data-syno-text=\"true\">к начальному моменту прогнозного периода путем дисконтирования.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u><span data-syno-text=\"true\">Особенности построения финансовых прогнозов для действующей компании: </span></u></span></span></p><ul><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финансовая модель для действующей компании должна включать прогнозы денежных потоков, которые будут поступать Получателю средств </span></span><span data-syno-inline=\"true\"><span linebreak=\"true\" synobr=\"true\"><br></span></span><span style=\"font-family: Times New Roman;\"><span data-syno-text=\"true\">в случае реализации проекта (прогноз «с проектом») и в случае, если проект </span></span><span data-syno-inline=\"true\"><span linebreak=\"true\" synobr=\"true\"><br></span></span><span style=\"font-family: Times New Roman;\"><span data-syno-text=\"true\">не будет реализован (прогноз «без проекта»); </span></span></span></p></li><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денежные потоки по коммерческой деятельности Получателя средств, не связанной с реализацией инвестиционного проекта (в случае, если она предполагается в период реализации проекта) должны включаться </span></span><span data-syno-inline=\"true\"><span linebreak=\"true\" synobr=\"true\"><br></span></span><span style=\"font-family: Times New Roman;\"><span data-syno-text=\"true\">в прогноз «с проектом» и, по возможности, показываться обособленно; </span></span></span></p></li><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при построении прогноза «с проектом» должно учитываться возможное взаимное влияние денежных потоков по проекту и по коммерческой деятельности Получателя средств, не связанной с реализацией инвестиционного проекта; </span></span></span></p></li><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дисконтированный период окупаемости проекта (DPBPproject) рассчитывается на основе денежных потоков по прогнозу «с проектом» </span></span><span data-syno-inline=\"true\"><span linebreak=\"true\" synobr=\"true\"><br></span></span><span style=\"font-family: Times New Roman;\"><span data-syno-text=\"true\">за вычетом денежных потоков по прогнозу «без проекта»; </span></span></span></p></li><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чистая приведенная стоимость проекта (NPVproject) рассчитывается как разница между дисконтированными свободными денежными потоками </span></span><span data-syno-inline=\"true\"><span linebreak=\"true\" synobr=\"true\"><br></span></span><span style=\"font-family: Times New Roman;\"><span data-syno-text=\"true\">по прогнозу «с проектом» и дисконтированными свободными денежными потоками по прогнозу «без проекта»; </span></span></span></p></li><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расчет ставки дисконтирования должен производиться на основе прогнозной структуры капитала Получателя средств (в том числе, с учетом ранее полученного долгового финансирования); </span></span></span></p></li><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остальные финансовые показатели (коэффициенты) и прогнозная финансовая отчетность Действующей компании строятся на основе прогноза </span></span><span data-syno-inline=\"true\"><span linebreak=\"true\" synobr=\"true\"><br></span></span><span style=\"font-family: Times New Roman;\"><span data-syno-text=\"true\">«с проектом». </span></span></span></p></li></u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textblock=\"true\" style=\"font-weight: 400; margin-top: 0px; margin-bottom: 0px; font-size: 14pt; line-height: 1.2; padding-bottom: 0px; padding-top: 0px; padding-left: 0px; text-align: center; font-family: Arial;\" data-syno-style=\"{&quot;lineHeight&quot;:&quot;1&quot;,&quot;paddingBottom&quot;:&quot;&quot;,&quot;paddingTop&quot;:&quot;&quot;,&quot;paddingLeft&quot;:&quot;0pt&quot;,&quot;textAlign&quot;:&quot;center&quot;}\" data-syno-marks=\"[{&quot;_&quot;:&quot;font_size&quot;,&quot;value&quot;:&quot;14pt&quot;}]\" class=\"syno-o-doc-pm-paragraph\"><span style=\"font-size: 14pt;\"><span style=\"font-family: Times New Roman;\"><strong><span data-syno-text=\"true\">5. Оценка устойчивости финансовых показателей (коэффициентов)</span></strong></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Для оценки устойчивости финансовых показателей (коэффициентов) применяется метод анализа чувствительности – оценки степени воздействия изменения ключевых факторов чувствительности на результаты финансовых прогнозов. Если анализ чувствительности не позволяет измерить/проиллюстрировать отдельные риски, применяются иные методы, </span></span><span data-syno-inline=\"true\"><span linebreak=\"true\" synobr=\"true\"><br></span></span><span style=\"font-family: Times New Roman;\"><span data-syno-text=\"true\">в том числе, расчет точки безубыточности, метод МонтеКарло, сценарный анализ, факторный анализ и т.п.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К ключевым факторам чувствительности относятся допущения (исходные данные) финансовой модели, фактические значения которых в ходе реализации проекта (ввиду невозможности их точной оценки или присущей </span></span><span data-syno-inline=\"true\"><span linebreak=\"true\" synobr=\"true\"><br></span></span><span style=\"font-family: Times New Roman;\"><span data-syno-text=\"true\">им волатильности) могут значительно отклониться от значений, заложенных </span></span><span data-syno-inline=\"true\"><span linebreak=\"true\" synobr=\"true\"><br></span></span><span style=\"font-family: Times New Roman;\"><span data-syno-text=\"true\">в финансовую модель. В частности, к типичным факторам чувствительности можно отнести: </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цены на готовую продукцию и тарифы на услуги;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объем продаж (интенсивность эксплуатации, число покупателей/пользователей);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объем капитальных затрат;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задержки ввода инвестиционного объекта в эксплуатацию и выхода </span></span><span data-syno-inline=\"true\"><span linebreak=\"true\" synobr=\"true\"><br></span></span><span style=\"font-family: Times New Roman;\"><span data-syno-text=\"true\">на проектную мощность;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цены на основное сырье и материалы, топливо, трудовые ресурсы;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величину постоянных операционных затрат;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ставку дисконтирования;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прогнозные темпы инфляции;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обменные курсы валют, и т.п. </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При необходимости провести анализ чувствительности к изменению ставки дисконтирования, цены реализации продукта, цены ключевого ресурса </span></span><span data-syno-inline=\"true\"><span linebreak=\"true\" synobr=\"true\"><br></span></span><span style=\"font-family: Times New Roman;\"><span data-syno-text=\"true\">и объема продаж. </span></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К типичным результатам финансовых прогнозов, волатильность которых может быть измерена в ходе анализа чувствительности, относятся: </span></span></span></p><ul><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показатели инвестиционной привлекательности;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показатели финансовой устойчивости;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срок возврата кредита;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оценка рыночной стоимости компании или доли в уставном капитале Получателя средств; </span></span></span></p></li><li><p textblock=\"true\" style=\"font-weight: 400; margin-top: 0px; margin-bottom: 0px; font-size: 14pt; line-height: 1.2; padding-bottom: 0px; padding-top: 0px; padding-left: 24px; text-align: justify; font-family: Arial;\" data-syno-style=\"{&quot;lineHeight&quot;:&quot;1&quot;,&quot;paddingBottom&quot;:&quot;&quot;,&quot;paddingTop&quot;:&quot;&quot;,&quot;paddingLeft&quot;:&quot;18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иные показатели по усмотрению Инициатора проекта. </span></span></span></p></li></u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textblock=\"true\" style=\"font-weight: 400; margin-top: 0px; margin-bottom: 0px; font-size: 14pt; line-height: 1.2; padding-bottom: 0px; padding-top: 0px; padding-left: 0px; text-align: center; font-family: Arial;\" data-syno-style=\"{&quot;lineHeight&quot;:&quot;1&quot;,&quot;paddingBottom&quot;:&quot;&quot;,&quot;paddingTop&quot;:&quot;&quot;,&quot;paddingLeft&quot;:&quot;0pt&quot;,&quot;textAlign&quot;:&quot;center&quot;}\" data-syno-marks=\"[{&quot;_&quot;:&quot;font_size&quot;,&quot;value&quot;:&quot;14pt&quot;}]\" class=\"syno-o-doc-pm-paragraph\"><span style=\"font-size: 14pt;\"><span style=\"font-family: Times New Roman;\"><strong><span data-syno-text=\"true\">6. Требования к описанию финансовой модели</span></strong></span></span></p><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Описание финансовой модели оформляется в виде приложения </span></span><span data-syno-inline=\"true\"><span linebreak=\"true\" synobr=\"true\"><br></span></span><span style=\"font-family: Times New Roman;\"><span data-syno-text=\"true\">к финансовой модели. В описание должны быть включены: </span></span></span></p><ul><li><p textblock=\"true\" style=\"font-weight: 400; margin-top: 0px; margin-bottom: 0px; font-size: 14pt; line-height: 1.2; padding-bottom: 0px; padding-top: 0px; padding-left: 71.27px; text-align: justify; font-family: Arial;\" data-syno-style=\"{&quot;lineHeight&quot;:&quot;1&quot;,&quot;paddingBottom&quot;:&quot;&quot;,&quot;paddingTop&quot;:&quot;&quot;,&quot;paddingLeft&quot;:&quot;53.4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описание структуры финансовой модели; </span></span></span></p></li><li><p textblock=\"true\" style=\"font-weight: 400; margin-top: 0px; margin-bottom: 0px; font-size: 14pt; line-height: 1.2; padding-bottom: 0px; padding-top: 0px; padding-left: 71.27px; text-align: justify; font-family: Arial;\" data-syno-style=\"{&quot;lineHeight&quot;:&quot;1&quot;,&quot;paddingBottom&quot;:&quot;&quot;,&quot;paddingTop&quot;:&quot;&quot;,&quot;paddingLeft&quot;:&quot;53.4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описание механизма работы макросов, использованных в финансовой модели (если применимо); </span></span></span></p></li><li><p textblock=\"true\" style=\"font-weight: 400; margin-top: 0px; margin-bottom: 0px; font-size: 14pt; line-height: 1.2; padding-bottom: 0px; padding-top: 0px; padding-left: 71.27px; text-align: justify; font-family: Arial;\" data-syno-style=\"{&quot;lineHeight&quot;:&quot;1&quot;,&quot;paddingBottom&quot;:&quot;&quot;,&quot;paddingTop&quot;:&quot;&quot;,&quot;paddingLeft&quot;:&quot;53.4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основные допущения (предположения) и исходные данные </span></span><span data-syno-inline=\"true\"><span linebreak=\"true\" synobr=\"true\"><br></span></span><span style=\"font-family: Times New Roman;\"><span data-syno-text=\"true\">для финансовых прогнозов, с указанием источников информации, </span></span><span data-syno-inline=\"true\"><span linebreak=\"true\" synobr=\"true\"><br></span></span><span style=\"font-family: Times New Roman;\"><span data-syno-text=\"true\">если они не приведены в бизнес-плане; </span></span></span></p></li><li><p textblock=\"true\" style=\"font-weight: 400; margin-top: 0px; margin-bottom: 0px; font-size: 14pt; line-height: 1.2; padding-bottom: 0px; padding-top: 0px; padding-left: 71.27px; text-align: justify; font-family: Arial;\" data-syno-style=\"{&quot;lineHeight&quot;:&quot;1&quot;,&quot;paddingBottom&quot;:&quot;&quot;,&quot;paddingTop&quot;:&quot;&quot;,&quot;paddingLeft&quot;:&quot;53.4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формулы расчета финансовых показателей (коэффициентов), </span></span><span data-syno-inline=\"true\"><span linebreak=\"true\" synobr=\"true\"><br></span></span><span style=\"font-family: Times New Roman;\"><span data-syno-text=\"true\">если они не приведены в бизнес-плане; </span></span></span></p></li><li><p textblock=\"true\" style=\"font-weight: 400; margin-top: 0px; margin-bottom: 0px; font-size: 14pt; line-height: 1.2; padding-bottom: 0px; padding-top: 0px; padding-left: 71.27px; text-align: justify; font-family: Arial;\" data-syno-style=\"{&quot;lineHeight&quot;:&quot;1&quot;,&quot;paddingBottom&quot;:&quot;&quot;,&quot;paddingTop&quot;:&quot;&quot;,&quot;paddingLeft&quot;:&quot;53.4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контактные данные лиц, ответственных за предоставление разъяснений по финансовой модели; </span></span></span></p></li><li><p textblock=\"true\" style=\"font-weight: 400; margin-top: 0px; margin-bottom: 0px; font-size: 14pt; line-height: 1.2; padding-bottom: 0px; padding-top: 0px; padding-left: 71.27px; text-align: justify; font-family: Arial;\" data-syno-style=\"{&quot;lineHeight&quot;:&quot;1&quot;,&quot;paddingBottom&quot;:&quot;&quot;,&quot;paddingTop&quot;:&quot;&quot;,&quot;paddingLeft&quot;:&quot;53.4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иная информация, необходимая для понимания структуры, принципов построения, механизма работы, и иных особенностей финансовой модели. </span></span></span></p></li></ul><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trong><span data-syno-text=\"true\">Необходимые источники информации</span></strong></span></span></p><p data-syno-indent=\"true\" textblock=\"true\" style=\"font-weight: 400; margin-top: 0px; margin-bottom: 0px; font-size: 14pt; line-height: 1.2; padding-bottom: 0px; padding-top: 0px; padding-left: 0px; text-align: justify; font-family: Arial;\" data-syno-style=\"{&quot;lineHeight&quot;:&quot;1&quot;,&quot;paddingBottom&quot;:&quot;&quot;,&quot;paddingTop&quot;:&quot;&quot;,&quot;paddingLeft&quot;:&quot;0pt&quot;,&quot;textAlign&quot;:&quot;justify&quot;}\" data-syno-marks=\"[{&quot;_&quot;:&quot;font_size&quot;,&quot;value&quot;:&quot;14pt&quot;}]\" class=\"syno-o-doc-pm-paragraph\"><span pm-ignore=\"keep\" style=\"margin-left: 30px;\"></span><span style=\"font-size: 14pt;\"><span style=\"font-family: Times New Roman;\"><span data-syno-text=\"true\">Источники информации для подготовки бизнес-плана и исходных данных (допущений) для финансовой модели включают: </span></span></span></p><ul><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документы, выданные или подписанные третьими лицами, которые </span></span><span data-syno-inline=\"true\"><span linebreak=\"true\" synobr=\"true\"><br></span></span><span style=\"font-family: Times New Roman;\"><span data-syno-text=\"true\">не являются аффилированными с Получателем средств (разрешительно согласовательная документация; договора, сметы и калькуляции; спецификации, прайс-листы, иные документы); </span></span></span></p></li><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исторические данные по финансово-хозяйственной деятельности Получателя средств (на основе управленческой и финансовой отчетности); </span></span></span></p></li><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действующие нормативно-правовые акты; </span></span></span></p></li><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официальные данные отраслевой и макроэкономической статистики; </span></span></span></p></li><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результаты аналитических исследований, произведенных независимыми экспертами, обладающими необходимой квалификацией и опытом, в том числе специально проведенных исследований по проекту; </span></span></span></p></li><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данные специализированных отраслевых, маркетинговых, финансовых </span></span><span data-syno-inline=\"true\"><span linebreak=\"true\" synobr=\"true\"><br></span></span><span style=\"font-family: Times New Roman;\"><span data-syno-text=\"true\">и иных аналитических изданий, и Интернет-сайтов; </span></span></span></p></li><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аналитическая и статистическая информация общепризнанных информационно-аналитических агентств, банков, фондовых и товарных бирж; </span></span></span></p></li><li><p textblock=\"true\" style=\"font-weight: 400; margin-top: 0px; margin-bottom: 0px; font-size: 14pt; line-height: 1.2; padding-bottom: 0px; padding-top: 0px; padding-left: 61.8px; text-align: justify; font-family: Arial;\" data-syno-style=\"{&quot;lineHeight&quot;:&quot;1&quot;,&quot;paddingBottom&quot;:&quot;&quot;,&quot;paddingTop&quot;:&quot;&quot;,&quot;paddingLeft&quot;:&quot;46.35pt&quot;,&quot;textAlign&quot;:&quot;justify&quot;}\" data-syno-marks=\"[{&quot;_&quot;:&quot;font_size&quot;,&quot;value&quot;:&quot;14pt&quot;}]\" class=\"syno-o-doc-pm-paragraph\"><span syno-list-item=\"true\" pm-ignore=\"true\" class=\"syno-o-doc-list-item-marker syno-o-doc-bullet-list-marker-0\" style=\"font-size: 14pt;\"></span><span style=\"font-size: 14pt;\"><span style=\"font-family: Times New Roman;\"><span data-syno-text=\"true\">данные из иных открытых источников, которые могут быть признаны достоверными и объективными. </span></span></span></p></li></ul><p textblock=\"true\" style=\"font-weight: 400; margin-top: 0px; margin-bottom: 0px; font-size: 14pt; line-height: 1.7999999999999998; padding-bottom: 0px; padding-top: 0px; padding-left: 0px; text-align: left; font-family: Arial;\" data-syno-style=\"{&quot;lineHeight&quot;:&quot;&quot;,&quot;paddingBottom&quot;:&quot;&quot;,&quot;paddingTop&quot;:&quot;&quot;,&quot;paddingLeft&quot;:&quot;&quot;,&quot;textAlign&quot;:&quot;&quot;}\" data-syno-marks=\"[{&quot;_&quot;:&quot;font_size&quot;,&quot;value&quot;:&quot;14pt&quot;}]\" class=\"syno-o-doc-pm-paragraph\"><span style=\"font-size: 14pt;\"><span data-syno-text=\"true\"> </span></span></p><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span data-syno-text=\"true\"> </span></p></div></div><div class=\"syno-o-doc-graph-container\"></div></div><div class=\"syno-o-doc-pm-page-decorator syno-o-doc-pm-page-footer\" style=\"width: 793.7px; min-height: 75.59px; max-height: 194.27px;\"></div><div class=\"syno-o-doc-pm-page-decorator syno-o-doc-pm-page-page-number\"></div></div></div></div><div class=\"syno-o-doc-pm-edit-area-page-filling\"></div><div style=\"position: absolute; left: 0px; top: 0px;\"></div></div><div class=\"ProseMirror-non-printable syno-o-doc-pm-decorator-container\" synodecorate=\"true\" place-show=\"false\" place-cover=\"false\" place-even=\"false\" num-show=\"false\" num-cover=\"false\" num-even=\"false\" num-pos=\"br\"><header class=\"syno-o-doc-pm-header\" type=\"cover\" style=\"max-height: 172.27px; min-height: 53.59px;\"><div class=\"syno-o-doc-pm-header-editor\" style=\"width: 623.62px;\"><div class=\"syno-o-doc-pm-header-padding\" style=\"padding: 11px 56.69px 11px 113.39px;\"><div style=\"width: 623.62px;\"><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div style=\"position: absolute; left: 4px; top: 4px;\"></div></div></header><header class=\"syno-o-doc-pm-header\" type=\"even\" style=\"max-height: 172.27px; min-height: 53.59px;\"><div class=\"syno-o-doc-pm-header-editor\" style=\"width: 623.62px;\"><div class=\"syno-o-doc-pm-header-padding\" style=\"padding: 11px 56.69px 11px 113.39px;\"><div style=\"width: 623.62px;\"><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div style=\"position: absolute; left: 4px; top: 4px;\"></div></div></header><header class=\"syno-o-doc-pm-header\" type=\"normal\" style=\"max-height: 172.27px; min-height: 53.59px;\"><div class=\"syno-o-doc-pm-header-editor\" style=\"width: 623.62px;\"><div class=\"syno-o-doc-pm-header-padding\" style=\"padding: 11px 56.69px 11px 113.39px;\"><div style=\"width: 623.62px;\"><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div style=\"position: absolute; left: 4px; top: 4px;\"></div></div></header><footer class=\"syno-o-doc-pm-footer\" type=\"cover\" style=\"max-height: 172.27px; min-height: 53.59px;\"><div class=\"syno-o-doc-pm-footer-editor\" style=\"width: 623.62px;\"><div class=\"syno-o-doc-pm-footer-padding\" style=\"padding: 11px 56.69px 11px 113.39px;\"><div style=\"width: 623.62px;\"><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div style=\"position: absolute; left: 4px; top: 4px;\"></div></div></footer><footer class=\"syno-o-doc-pm-footer\" type=\"even\" style=\"max-height: 172.27px; min-height: 53.59px;\"><div class=\"syno-o-doc-pm-footer-editor\" style=\"width: 623.62px;\"><div class=\"syno-o-doc-pm-footer-padding\" style=\"padding: 11px 56.69px 11px 113.39px;\"><div style=\"width: 623.62px;\"><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div style=\"position: absolute; left: 4px; top: 4px;\"></div></div></footer><footer class=\"syno-o-doc-pm-footer\" type=\"normal\" style=\"max-height: 172.27px; min-height: 53.59px;\"><div class=\"syno-o-doc-pm-footer-editor\" style=\"width: 623.62px;\"><div class=\"syno-o-doc-pm-footer-padding\" style=\"padding: 11px 56.69px 11px 113.39px;\"><div style=\"width: 623.62px;\"><p textblock=\"true\" style=\"font-weight: 400; margin-top: 0px; margin-bottom: 0px; line-height: 1.7999999999999998; padding-bottom: 0px; padding-top: 0px; padding-left: 0px; text-align: left; font-size: 11pt; font-family: Arial;\" data-syno-style=\"{&quot;lineHeight&quot;:&quot;&quot;,&quot;paddingBottom&quot;:&quot;&quot;,&quot;paddingTop&quot;:&quot;&quot;,&quot;paddingLeft&quot;:&quot;&quot;,&quot;textAlign&quot;:&quot;&quot;}\" data-syno-marks=\"[]\" class=\"syno-o-doc-pm-paragraph\"></p></div></div><div style=\"position: absolute; left: 4px; top: 4px;\"></div></div></footer><div synonum=\"true\" pagenum=\"true\" type=\"normal\"><div synonumblock=\"true\"><span data-syno-inline=\"true\"><span synonumtext=\"true\"></span></span></div></div></div>","version":0}}
</file>